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2026-05-10</w:t>
      </w:r>
    </w:p>
    <w:p>
      <w:pPr>
        <w:pStyle w:val="BodyText"/>
      </w:pPr>
      <w:r>
        <w:rPr>
          <w:b/>
          <w:bCs/>
        </w:rPr>
        <w:t xml:space="preserve">Manuscript number:</w:t>
      </w:r>
      <w:r>
        <w:t xml:space="preserve"> </w:t>
      </w:r>
      <w:r>
        <w:t xml:space="preserve">JLP-D-26-00414 (revised)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Professor Paul Amyotte, Receiving Editor,</w:t>
      </w:r>
      <w:r>
        <w:t xml:space="preserve"> </w:t>
      </w:r>
      <w:r>
        <w:rPr>
          <w:i/>
          <w:iCs/>
        </w:rPr>
        <w:t xml:space="preserve">Journal of Loss Prevention in the Process Industries</w:t>
      </w:r>
    </w:p>
    <w:p>
      <w:pPr>
        <w:pStyle w:val="BodyText"/>
      </w:pPr>
      <w:r>
        <w:rPr>
          <w:b/>
          <w:bCs/>
        </w:rPr>
        <w:t xml:space="preserve">Re:</w:t>
      </w:r>
      <w:r>
        <w:t xml:space="preserve"> </w:t>
      </w:r>
      <w:r>
        <w:t xml:space="preserve">Resubmission of</w:t>
      </w:r>
      <w:r>
        <w:t xml:space="preserve"> </w:t>
      </w:r>
      <w:r>
        <w:t xml:space="preserve">“A KOSHA Regulatory Knowledge-Grounded Multi-Discipline AI Verification Framework for Process Plant Engineering”</w:t>
      </w:r>
      <w:r>
        <w:t xml:space="preserve"> </w:t>
      </w:r>
      <w:r>
        <w:t xml:space="preserve">(title revised from</w:t>
      </w:r>
      <w:r>
        <w:t xml:space="preserve"> </w:t>
      </w:r>
      <w:r>
        <w:t xml:space="preserve">“Detecting Jurisdiction Compliance Gaps in Process Plant Engineering with Regulatory RAG”</w:t>
      </w:r>
      <w:r>
        <w:t xml:space="preserve"> </w:t>
      </w:r>
      <w:r>
        <w:t xml:space="preserve">per Reviewer #2’s framing concerns)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Professor Amyotte,</w:t>
      </w:r>
    </w:p>
    <w:p>
      <w:pPr>
        <w:pStyle w:val="BodyText"/>
      </w:pPr>
      <w:r>
        <w:t xml:space="preserve">Thank you for the opportunity to revise JLP-D-26-00414. The three reviewers’ detailed comments substantially strengthened the work. Key changes: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Comparison axis added.</w:t>
      </w:r>
      <w:r>
        <w:t xml:space="preserve"> </w:t>
      </w:r>
      <w:r>
        <w:t xml:space="preserve">Industry baseline (</w:t>
      </w:r>
      <w:r>
        <w:t xml:space="preserve">“ASME/API pass = compliance complete”</w:t>
      </w:r>
      <w:r>
        <w:t xml:space="preserve">: 0/3) and four-layer ablation now anchor §6.6 (Tables 7, 7b).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Synthetic framing corrected, real-plant evidence promoted.</w:t>
      </w:r>
      <w:r>
        <w:t xml:space="preserve"> </w:t>
      </w:r>
      <w:r>
        <w:t xml:space="preserve">The 220-case headline is repositioned as</w:t>
      </w:r>
      <w:r>
        <w:t xml:space="preserve"> </w:t>
      </w:r>
      <w:r>
        <w:rPr>
          <w:i/>
          <w:iCs/>
        </w:rPr>
        <w:t xml:space="preserve">implementation verification, not predictive validation</w:t>
      </w:r>
      <w:r>
        <w:t xml:space="preserve">; a new §6.6.3 summarises the anonymised VES-REAL-001 cryogenic flare-drum case (Appendix A), in which Article 266 (flare-path block-valve prohibition) emerges naturally from retrieval.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Claims narrowed to what survives statistical scrutiny.</w:t>
      </w:r>
      <w:r>
        <w:t xml:space="preserve"> </w:t>
      </w:r>
      <w:r>
        <w:t xml:space="preserve">Headline retrieval reduced to Recall@1 and MRR@10 (paired-bootstrap 95% CI excludes zero, n=50, 1000 resamples); Recall@3/</w:t>
      </w:r>
      <w:r>
        <w:t xml:space="preserve">@5</w:t>
      </w:r>
      <w:r>
        <w:t xml:space="preserve"> </w:t>
      </w:r>
      <w:r>
        <w:t xml:space="preserve">are disclosed as not statistically distinguishable from zero. Limitations expanded to eight items.</w:t>
      </w:r>
    </w:p>
    <w:p>
      <w:pPr>
        <w:pStyle w:val="FirstParagraph"/>
      </w:pPr>
      <w:r>
        <w:rPr>
          <w:i/>
          <w:iCs/>
        </w:rPr>
        <w:t xml:space="preserve">Editorial note.</w:t>
      </w:r>
      <w:r>
        <w:t xml:space="preserve"> </w:t>
      </w:r>
      <w:r>
        <w:t xml:space="preserve">One headline number was corrected during revision: the cross-discipline ablation now reports</w:t>
      </w:r>
      <w:r>
        <w:t xml:space="preserve"> </w:t>
      </w:r>
      <w:r>
        <w:rPr>
          <w:b/>
          <w:bCs/>
        </w:rPr>
        <w:t xml:space="preserve">26/60 (+0.4333)</w:t>
      </w:r>
      <w:r>
        <w:t xml:space="preserve">, not 25/60, following a duplicate-surplus correction to</w:t>
      </w:r>
      <w:r>
        <w:t xml:space="preserve"> </w:t>
      </w:r>
      <w:r>
        <w:rPr>
          <w:rStyle w:val="VerbatimChar"/>
        </w:rPr>
        <w:t xml:space="preserve">piping_golden_dataset_v1.json</w:t>
      </w:r>
      <w:r>
        <w:t xml:space="preserve"> </w:t>
      </w:r>
      <w:r>
        <w:t xml:space="preserve">flagged during the reproducibility audit. The correction strengthens, not weakens, the evidence.</w:t>
      </w:r>
    </w:p>
    <w:p>
      <w:pPr>
        <w:pStyle w:val="BodyText"/>
      </w:pPr>
      <w:r>
        <w:t xml:space="preserve">The revision is reproducible via</w:t>
      </w:r>
      <w:r>
        <w:t xml:space="preserve"> </w:t>
      </w:r>
      <w:r>
        <w:rPr>
          <w:rStyle w:val="VerbatimChar"/>
        </w:rPr>
        <w:t xml:space="preserve">scripts/reproduce_all.py</w:t>
      </w:r>
      <w:r>
        <w:t xml:space="preserve"> </w:t>
      </w:r>
      <w:r>
        <w:t xml:space="preserve">(13/13 pass); code, data, and the FTS5 index manifest are released under AGPL-3.0. The manuscript is exclusive to</w:t>
      </w:r>
      <w:r>
        <w:t xml:space="preserve"> </w:t>
      </w:r>
      <w:r>
        <w:rPr>
          <w:i/>
          <w:iCs/>
        </w:rPr>
        <w:t xml:space="preserve">JLP</w:t>
      </w:r>
      <w:r>
        <w:t xml:space="preserve"> </w:t>
      </w:r>
      <w:r>
        <w:t xml:space="preserve">and we declare no conflicts of interest.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Yuyong Kim</w:t>
      </w:r>
      <w:r>
        <w:t xml:space="preserve"> </w:t>
      </w:r>
      <w:r>
        <w:t xml:space="preserve">University of Wisconsin–Madison</w:t>
      </w:r>
      <w:r>
        <w:t xml:space="preserve"> </w:t>
      </w:r>
      <w:r>
        <w:t xml:space="preserve">M.S. Data, Insights &amp; Analytics; B.S. Chemical &amp; Biological Engineering; 12+ yr petrochemical EPC.</w:t>
      </w:r>
      <w:r>
        <w:t xml:space="preserve"> </w:t>
      </w:r>
      <w:hyperlink r:id="rId9">
        <w:r>
          <w:rPr>
            <w:rStyle w:val="Hyperlink"/>
          </w:rPr>
          <w:t xml:space="preserve">linkedin.com/in/yuyongkim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linkedin.com/in/yuyongki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linkedin.com/in/yuyongki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2026-05-09T16:41:52Z</dcterms:created>
  <dcterms:modified xsi:type="dcterms:W3CDTF">2026-05-09T16:41:52Z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