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We define the jurisdiction compliance gap between codes and Korean PSM regulation.</w:t>
      </w:r>
    </w:p>
    <w:p>
      <w:pPr>
        <w:pStyle w:val="Compact"/>
        <w:numPr>
          <w:ilvl w:val="0"/>
          <w:numId w:val="1001"/>
        </w:numPr>
      </w:pPr>
      <w:r>
        <w:t xml:space="preserve">A KOSHA-grounded RAG layer indexes 16,174 rows for jurisdiction-aware retrieval.</w:t>
      </w:r>
    </w:p>
    <w:p>
      <w:pPr>
        <w:pStyle w:val="Compact"/>
        <w:numPr>
          <w:ilvl w:val="0"/>
          <w:numId w:val="1001"/>
        </w:numPr>
      </w:pPr>
      <w:r>
        <w:t xml:space="preserve">Cross-discipline validator blocks 26/60 ablation scenarios (+0.4333 absolute).</w:t>
      </w:r>
    </w:p>
    <w:p>
      <w:pPr>
        <w:pStyle w:val="Compact"/>
        <w:numPr>
          <w:ilvl w:val="0"/>
          <w:numId w:val="1001"/>
        </w:numPr>
      </w:pPr>
      <w:r>
        <w:t xml:space="preserve">Concept-aware retrieval lifts Recall@1 0.44→0.74 and MRR@10 0.5744→0.7933.</w:t>
      </w:r>
    </w:p>
    <w:p>
      <w:pPr>
        <w:pStyle w:val="Compact"/>
        <w:numPr>
          <w:ilvl w:val="0"/>
          <w:numId w:val="1001"/>
        </w:numPr>
      </w:pPr>
      <w:r>
        <w:t xml:space="preserve">Implementation verified end-to-end on 220 synthetic cases across 7 disciplines.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2026-05-09T14:58:48Z</dcterms:created>
  <dcterms:modified xsi:type="dcterms:W3CDTF">2026-05-09T14:58:48Z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