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lated-work"/>
    <w:p>
      <w:pPr>
        <w:pStyle w:val="Heading2"/>
      </w:pPr>
      <w:r>
        <w:t xml:space="preserve">2. Related Work</w:t>
      </w:r>
    </w:p>
    <w:bookmarkStart w:id="15"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2"/>
    <w:bookmarkStart w:id="30" w:name="kosha-regulatory-knowledge-layer"/>
    <w:p>
      <w:pPr>
        <w:pStyle w:val="Heading2"/>
      </w:pPr>
      <w:r>
        <w:t xml:space="preserve">4. KOSHA Regulatory Knowledge Layer</w:t>
      </w:r>
    </w:p>
    <w:bookmarkStart w:id="26"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05961d0007a6793ac375959d695db63ea004385"/>
    <w:p>
      <w:pPr>
        <w:pStyle w:val="Heading2"/>
      </w:pPr>
      <w:r>
        <w:t xml:space="preserve">5. Seven-Domain Calculation Engines and Four-Layer Verification</w:t>
      </w:r>
    </w:p>
    <w:bookmarkStart w:id="31"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r>
        <w:pict>
          <v:rect style="width:0;height:1.5pt" o:hralign="center" o:hrstd="t" o:hr="t"/>
        </w:pict>
      </w:r>
    </w:p>
    <w:bookmarkEnd w:id="37"/>
    <w:bookmarkEnd w:id="38"/>
    <w:bookmarkStart w:id="55" w:name="experiments-and-evaluation"/>
    <w:p>
      <w:pPr>
        <w:pStyle w:val="Heading2"/>
      </w:pPr>
      <w:r>
        <w:t xml:space="preserve">6. Experiments and Evaluation</w:t>
      </w:r>
    </w:p>
    <w:p>
      <w:pPr>
        <w:pStyle w:val="FirstParagraph"/>
      </w:pPr>
      <w:r>
        <w:t xml:space="preserve">The evaluation programme comprises six analyses, each tied to one or more reviewer comments: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w:t>
            </w:r>
          </w:p>
        </w:tc>
        <w:tc>
          <w:tcPr/>
          <w:p>
            <w:pPr>
              <w:pStyle w:val="Compact"/>
              <w:jc w:val="right"/>
            </w:pPr>
            <w:r>
              <w:t xml:space="preserve">Boundary</w:t>
            </w:r>
          </w:p>
        </w:tc>
        <w:tc>
          <w:tcPr/>
          <w:p>
            <w:pPr>
              <w:pStyle w:val="Compact"/>
              <w:jc w:val="right"/>
            </w:pPr>
            <w:r>
              <w:t xml:space="preserve">Failure</w:t>
            </w:r>
          </w:p>
        </w:tc>
        <w:tc>
          <w:tcPr/>
          <w:p>
            <w:pPr>
              <w:pStyle w:val="Compact"/>
              <w:jc w:val="right"/>
            </w:pPr>
            <w:r>
              <w:t xml:space="preserve">Composite</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Reviewer 1 raised the legitimate concern that a synthetic-data evaluation may be circular (</w:t>
      </w:r>
      <w:r>
        <w:t xml:space="preserve">“did you find what you knew the model would find?”</w:t>
      </w:r>
      <w:r>
        <w:t xml:space="preserve">). The defence has three components. First, the test cases are</w:t>
      </w:r>
      <w:r>
        <w:t xml:space="preserve"> </w:t>
      </w:r>
      <w:r>
        <w:rPr>
          <w:i/>
          <w:iCs/>
        </w:rPr>
        <w:t xml:space="preserve">inverted</w:t>
      </w:r>
      <w:r>
        <w:t xml:space="preserve"> </w:t>
      </w:r>
      <w:r>
        <w:t xml:space="preserve">from the regulatory and standards text: each KOSHA RAG target was selected by reading the actual KOSHA clause first and then synthesising a calculation context that should trigger it. The detection therefore grounds in real regulatory obligations, even though the calc inputs are constructed. Second, this construction pattern is established practice in safety-critical AI evaluation: medical-AI work routinely uses synthetic patient cohorts with known ground-truth labels, and autonomous-vehicle systems are validated on simulated scenarios long before public-road deployment. Third, the evaluation is positioned as a</w:t>
      </w:r>
      <w:r>
        <w:t xml:space="preserve"> </w:t>
      </w:r>
      <w:r>
        <w:rPr>
          <w:b/>
          <w:bCs/>
        </w:rPr>
        <w:t xml:space="preserve">feasibility study</w:t>
      </w:r>
      <w:r>
        <w:t xml:space="preserve">; the architecture being demonstrated is the integration of calc + cross-discipline + KOSHA RAG, not a claim that the present numbers transfer to plant data. Field validation is explicit future work.</w:t>
      </w:r>
    </w:p>
    <w:bookmarkEnd w:id="39"/>
    <w:bookmarkStart w:id="40"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w:t>
      </w:r>
    </w:p>
    <w:bookmarkEnd w:id="40"/>
    <w:bookmarkStart w:id="44"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3" w:name="X945ebd9b2e343d6b9f880fd96f78b4c10113984"/>
    <w:p>
      <w:pPr>
        <w:pStyle w:val="Heading3"/>
      </w:pPr>
      <w:r>
        <w:t xml:space="preserve">6.6 Industry-Baseline Comparison and Internal Ablation</w:t>
      </w:r>
    </w:p>
    <w:p>
      <w:pPr>
        <w:pStyle w:val="FirstParagraph"/>
      </w:pPr>
      <w:r>
        <w:t xml:space="preserve">Reviewer 1 correctly observes that 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by any reviewer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results constitute implementation verification, not predictive validation.</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a.6-r1.5-framing-update"/>
    <w:p>
      <w:pPr>
        <w:pStyle w:val="Heading3"/>
      </w:pPr>
      <w:r>
        <w:t xml:space="preserve">A.6 R1.5 framing update</w:t>
      </w:r>
    </w:p>
    <w:p>
      <w:pPr>
        <w:pStyle w:val="FirstParagraph"/>
      </w:pPr>
      <w:r>
        <w:t xml:space="preserve">This real-plant case directly addresses Reviewer 1’s R1.5 concern that the §6 evaluation rests on synthetic data alone. The same calculation engine, same RAG index, and same query-construction pattern that produced the §6.1 implementation-verification result and the §6.5 retrieval benchmark also runs on actual EPC design data and produces (i) a UG-27 thickness consistent with the data sheet’s design-pressure and material specification under an explicit E = 1.0 assumption documented above, and (ii) KOSHA retrieval that contains both pressure-vessel-specific technical guidance and a flare-service-relevant mandatory law article. We can therefore claim</w:t>
      </w:r>
      <w:r>
        <w:t xml:space="preserve"> </w:t>
      </w:r>
      <w:r>
        <w:rPr>
          <w:b/>
          <w:bCs/>
        </w:rPr>
        <w:t xml:space="preserve">synthetic + real-data dual validation</w:t>
      </w:r>
      <w:r>
        <w:t xml:space="preserve"> </w:t>
      </w:r>
      <w:r>
        <w:t xml:space="preserve">for the framework: the synthetic golden dataset establishes that the implementation faithfully encodes the standards (implementation verification), and the VES-REAL-001 real-plant case demonstrates that the same implementation, unchanged, accepts a real engineering data sheet and returns coherent, jurisdiction-relevant outputs. The earlier limitation that</w:t>
      </w:r>
      <w:r>
        <w:t xml:space="preserve"> </w:t>
      </w:r>
      <w:r>
        <w:rPr>
          <w:i/>
          <w:iCs/>
        </w:rPr>
        <w:t xml:space="preserve">predictive validation against operating-record outcomes</w:t>
      </w:r>
      <w:r>
        <w:t xml:space="preserve"> </w:t>
      </w:r>
      <w:r>
        <w:t xml:space="preserve">still requires field-pilot deployment (§8 Limitation 1) is unchanged: VES-REAL-001 verifies that the system runs on real input, not that it predicts a real failure outcome — that bar remains future work.</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requested implicitly by the reviewers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Reviewer 1 asked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2026-05-08T16:41:26Z</dcterms:created>
  <dcterms:modified xsi:type="dcterms:W3CDTF">2026-05-08T16:41:26Z</dcterms:modified>
</cp:coreProperties>
</file>

<file path=docProps/custom.xml><?xml version="1.0" encoding="utf-8"?>
<Properties xmlns="http://schemas.openxmlformats.org/officeDocument/2006/custom-properties" xmlns:vt="http://schemas.openxmlformats.org/officeDocument/2006/docPropsVTypes"/>
</file>