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Before / After section comparison — JLP-D-26-00414 (revision 2026-05-10)</w:t>
      </w:r>
    </w:p>
    <w:p>
      <w:r>
        <w:rPr>
          <w:i/>
        </w:rPr>
        <w:t>70 changed rows: 22 NEW, 36 REVISED, 12 DELETED. (Sections &gt;=95% identical between versions are not shown.) Excerpts truncated to 1200 chars per cell. See PAPER_JLP_REVISED_v3.docx for the full revised manuscript.</w:t>
      </w:r>
    </w:p>
    <w:tbl>
      <w:tblPr>
        <w:tblStyle w:val="LightGrid-Accent1"/>
        <w:tblW w:type="auto" w:w="0"/>
        <w:tblLook w:firstColumn="1" w:firstRow="1" w:lastColumn="0" w:lastRow="0" w:noHBand="0" w:noVBand="1" w:val="04A0"/>
        <w:tblLayout w:type="fixed"/>
      </w:tblPr>
      <w:tblGrid>
        <w:gridCol w:w="576"/>
        <w:gridCol w:w="2880"/>
        <w:gridCol w:w="5760"/>
        <w:gridCol w:w="5760"/>
      </w:tblGrid>
      <w:tr>
        <w:tc>
          <w:tcPr>
            <w:tcW w:type="dxa" w:w="576"/>
            <w:shd w:val="clear" w:color="auto" w:fill="D9E1F2"/>
          </w:tcPr>
          <w:p>
            <w:r>
              <w:rPr>
                <w:b/>
              </w:rPr>
              <w:t>#</w:t>
            </w:r>
          </w:p>
        </w:tc>
        <w:tc>
          <w:tcPr>
            <w:tcW w:type="dxa" w:w="2880"/>
            <w:shd w:val="clear" w:color="auto" w:fill="D9E1F2"/>
          </w:tcPr>
          <w:p>
            <w:r>
              <w:rPr>
                <w:b/>
              </w:rPr>
              <w:t>Section</w:t>
            </w:r>
          </w:p>
        </w:tc>
        <w:tc>
          <w:tcPr>
            <w:tcW w:type="dxa" w:w="5760"/>
            <w:shd w:val="clear" w:color="auto" w:fill="D9E1F2"/>
          </w:tcPr>
          <w:p>
            <w:r>
              <w:rPr>
                <w:b/>
              </w:rPr>
              <w:t>Before (initial submission, 2026-03-31)</w:t>
            </w:r>
          </w:p>
        </w:tc>
        <w:tc>
          <w:tcPr>
            <w:tcW w:type="dxa" w:w="5760"/>
            <w:shd w:val="clear" w:color="auto" w:fill="D9E1F2"/>
          </w:tcPr>
          <w:p>
            <w:r>
              <w:rPr>
                <w:b/>
              </w:rPr>
              <w:t>After (this revision)</w:t>
            </w:r>
          </w:p>
        </w:tc>
      </w:tr>
      <w:tr>
        <w:tc>
          <w:tcPr>
            <w:tcW w:type="dxa" w:w="576"/>
            <w:shd w:val="clear" w:color="auto" w:fill="FFF2CC"/>
            <w:vAlign w:val="top"/>
          </w:tcPr>
          <w:p>
            <w:r>
              <w:rPr>
                <w:sz w:val="16"/>
              </w:rPr>
              <w:t>1</w:t>
            </w:r>
          </w:p>
        </w:tc>
        <w:tc>
          <w:tcPr>
            <w:tcW w:type="dxa" w:w="2880"/>
            <w:shd w:val="clear" w:color="auto" w:fill="FFF2CC"/>
            <w:vAlign w:val="top"/>
          </w:tcPr>
          <w:p>
            <w:r>
              <w:rPr>
                <w:b/>
                <w:sz w:val="16"/>
              </w:rPr>
              <w:t xml:space="preserve">[REVISED] </w:t>
            </w:r>
            <w:r>
              <w:rPr>
                <w:sz w:val="16"/>
              </w:rPr>
              <w:t>Detecting Jurisdiction Compliance Gaps in Process Plant Engineering with Regulatory RAG</w:t>
            </w:r>
          </w:p>
        </w:tc>
        <w:tc>
          <w:tcPr>
            <w:tcW w:type="dxa" w:w="5760"/>
            <w:shd w:val="clear" w:color="auto" w:fill="FFF2CC"/>
            <w:vAlign w:val="top"/>
          </w:tcPr>
          <w:p>
            <w:r>
              <w:rPr>
                <w:sz w:val="16"/>
              </w:rPr>
              <w:t>Yuyong Kim University of Wisconsin–Madison, Madison, WI 53706, USA M.S. Data, Insights &amp; Analytics; B.S. Chemical &amp; Biological Engineering</w:t>
            </w:r>
          </w:p>
        </w:tc>
        <w:tc>
          <w:tcPr>
            <w:tcW w:type="dxa" w:w="5760"/>
            <w:shd w:val="clear" w:color="auto" w:fill="FFF2CC"/>
            <w:vAlign w:val="top"/>
          </w:tcPr>
          <w:p>
            <w:r>
              <w:rPr>
                <w:sz w:val="16"/>
              </w:rPr>
              <w:t>Yuyong Kim University of Wisconsin–Madison ykim288@wisc.edu Manuscript number: JLP-D-26-00414 (revised)</w:t>
            </w:r>
          </w:p>
        </w:tc>
      </w:tr>
      <w:tr>
        <w:tc>
          <w:tcPr>
            <w:tcW w:type="dxa" w:w="576"/>
            <w:shd w:val="clear" w:color="auto" w:fill="FFF2CC"/>
            <w:vAlign w:val="top"/>
          </w:tcPr>
          <w:p>
            <w:r>
              <w:rPr>
                <w:sz w:val="16"/>
              </w:rPr>
              <w:t>2</w:t>
            </w:r>
          </w:p>
        </w:tc>
        <w:tc>
          <w:tcPr>
            <w:tcW w:type="dxa" w:w="2880"/>
            <w:shd w:val="clear" w:color="auto" w:fill="FFF2CC"/>
            <w:vAlign w:val="top"/>
          </w:tcPr>
          <w:p>
            <w:r>
              <w:rPr>
                <w:b/>
                <w:sz w:val="16"/>
              </w:rPr>
              <w:t xml:space="preserve">[REVISED] </w:t>
            </w:r>
            <w:r>
              <w:rPr>
                <w:sz w:val="16"/>
              </w:rPr>
              <w:t>Abstract</w:t>
            </w:r>
          </w:p>
        </w:tc>
        <w:tc>
          <w:tcPr>
            <w:tcW w:type="dxa" w:w="5760"/>
            <w:shd w:val="clear" w:color="auto" w:fill="FFF2CC"/>
            <w:vAlign w:val="top"/>
          </w:tcPr>
          <w:p>
            <w:r>
              <w:rPr>
                <w:sz w:val="16"/>
              </w:rPr>
              <w:t>Engineering calculations in process plants must satisfy both international codes (ASME, API, IEEE, IEC) and national safety regulations. When these two layers are misaligned, code-compliant engineering packages can leave latent accident pathways unaddressed — a condition we term the jurisdiction compliance gap. In Korean process plants, the KOSHA PSM framework imposes documentation, review triggers, and corrosion-prevention controls that international code calculations do not encode; overlooking these obligations can delay hazard identification until regulatory audit or, worse, until an incident occurs. This study proposes a proof-of-feasibility verification layer — not a replacement for detailed engineering design — that screens for such gaps. The system combines seven domain calculation engines, a four-layer hybrid verification model with K-voting consensus, a cross-discipline coupling validator, and a regulatory RAG layer indexing 1,327 KOSHA guides and 3,102 statutory provisions. On 220 curated synthetic golden cases, the deterministic engines confirm implementation correctness. A 60-scenario ablation shows that cross-discipline coupling validation blocks 25 additional hazard …[truncated]</w:t>
            </w:r>
          </w:p>
        </w:tc>
        <w:tc>
          <w:tcPr>
            <w:tcW w:type="dxa" w:w="5760"/>
            <w:shd w:val="clear" w:color="auto" w:fill="FFF2CC"/>
            <w:vAlign w:val="top"/>
          </w:tcPr>
          <w:p>
            <w:r>
              <w:rPr>
                <w:sz w:val="16"/>
              </w:rPr>
              <w:t>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 16,174 entries (13,084 guide chunks + 3,090 indexed law-article entries) are retained as searchable documents in the SQLite FTS5 index. Twelve law-article rows were excluded because their statutory body text was empty in the source API response (four are repealed articles for which an empty body is expected; the remaining eight …[truncated]</w:t>
            </w:r>
          </w:p>
        </w:tc>
      </w:tr>
      <w:tr>
        <w:tc>
          <w:tcPr>
            <w:tcW w:type="dxa" w:w="576"/>
            <w:shd w:val="clear" w:color="auto" w:fill="FFF2CC"/>
            <w:vAlign w:val="top"/>
          </w:tcPr>
          <w:p>
            <w:r>
              <w:rPr>
                <w:sz w:val="16"/>
              </w:rPr>
              <w:t>3</w:t>
            </w:r>
          </w:p>
        </w:tc>
        <w:tc>
          <w:tcPr>
            <w:tcW w:type="dxa" w:w="2880"/>
            <w:shd w:val="clear" w:color="auto" w:fill="FFF2CC"/>
            <w:vAlign w:val="top"/>
          </w:tcPr>
          <w:p>
            <w:r>
              <w:rPr>
                <w:b/>
                <w:sz w:val="16"/>
              </w:rPr>
              <w:t xml:space="preserve">[REVISED] </w:t>
            </w:r>
            <w:r>
              <w:rPr>
                <w:sz w:val="16"/>
              </w:rPr>
              <w:t>1 Introduction</w:t>
            </w:r>
          </w:p>
        </w:tc>
        <w:tc>
          <w:tcPr>
            <w:tcW w:type="dxa" w:w="5760"/>
            <w:shd w:val="clear" w:color="auto" w:fill="FFF2CC"/>
            <w:vAlign w:val="top"/>
          </w:tcPr>
          <w:p>
            <w:r>
              <w:rPr>
                <w:sz w:val="16"/>
              </w:rPr>
            </w:r>
          </w:p>
        </w:tc>
        <w:tc>
          <w:tcPr>
            <w:tcW w:type="dxa" w:w="5760"/>
            <w:shd w:val="clear" w:color="auto" w:fill="FFF2CC"/>
            <w:vAlign w:val="top"/>
          </w:tcPr>
          <w:p>
            <w:r>
              <w:rPr>
                <w:sz w:val="16"/>
              </w:rPr>
              <w:t>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…[truncated]</w:t>
            </w:r>
          </w:p>
        </w:tc>
      </w:tr>
      <w:tr>
        <w:tc>
          <w:tcPr>
            <w:tcW w:type="dxa" w:w="576"/>
            <w:shd w:val="clear" w:color="auto" w:fill="E2F0D9"/>
            <w:vAlign w:val="top"/>
          </w:tcPr>
          <w:p>
            <w:r>
              <w:rPr>
                <w:sz w:val="16"/>
              </w:rPr>
              <w:t>4</w:t>
            </w:r>
          </w:p>
        </w:tc>
        <w:tc>
          <w:tcPr>
            <w:tcW w:type="dxa" w:w="2880"/>
            <w:shd w:val="clear" w:color="auto" w:fill="E2F0D9"/>
            <w:vAlign w:val="top"/>
          </w:tcPr>
          <w:p>
            <w:r>
              <w:rPr>
                <w:b/>
                <w:sz w:val="16"/>
              </w:rPr>
              <w:t xml:space="preserve">[NEW] </w:t>
            </w:r>
            <w:r>
              <w:rPr>
                <w:sz w:val="16"/>
              </w:rPr>
              <w:t>2.1 AI Applications in Process Safety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…[truncated]</w:t>
            </w:r>
          </w:p>
        </w:tc>
      </w:tr>
      <w:tr>
        <w:tc>
          <w:tcPr>
            <w:tcW w:type="dxa" w:w="576"/>
            <w:shd w:val="clear" w:color="auto" w:fill="FFF2CC"/>
            <w:vAlign w:val="top"/>
          </w:tcPr>
          <w:p>
            <w:r>
              <w:rPr>
                <w:sz w:val="16"/>
              </w:rPr>
              <w:t>5</w:t>
            </w:r>
          </w:p>
        </w:tc>
        <w:tc>
          <w:tcPr>
            <w:tcW w:type="dxa" w:w="2880"/>
            <w:shd w:val="clear" w:color="auto" w:fill="FFF2CC"/>
            <w:vAlign w:val="top"/>
          </w:tcPr>
          <w:p>
            <w:r>
              <w:rPr>
                <w:b/>
                <w:sz w:val="16"/>
              </w:rPr>
              <w:t xml:space="preserve">[REVISED] </w:t>
            </w:r>
            <w:r>
              <w:rPr>
                <w:sz w:val="16"/>
              </w:rPr>
              <w:t>2.2 RAG in Technical and Regulatory Domains</w:t>
            </w:r>
          </w:p>
        </w:tc>
        <w:tc>
          <w:tcPr>
            <w:tcW w:type="dxa" w:w="5760"/>
            <w:shd w:val="clear" w:color="auto" w:fill="FFF2CC"/>
            <w:vAlign w:val="top"/>
          </w:tcPr>
          <w:p>
            <w:r>
              <w:rPr>
                <w:sz w:val="16"/>
              </w:rPr>
              <w:t>(was: 2.2 Retrieval-augmented generation for regulatory domains)</w:t>
              <w:br/>
              <w:br/>
              <w:t>The RAG paradigm (Lewis et al., 2020; Gao et al., 2024) augments language models with retrieved evidence. Walker et al. (2026) apply safety-document RAG to offshore wind maintenance, the closest structural analogue to our work, but without cross-jurisdiction regulatory analysis. Klesel and Wittmann (2025) identify regulatory RAG as an open direction. The present work instantiates this direction with a concrete corpus construction and evaluation methodology for Korean industrial safety regulations.</w:t>
            </w:r>
          </w:p>
        </w:tc>
        <w:tc>
          <w:tcPr>
            <w:tcW w:type="dxa" w:w="5760"/>
            <w:shd w:val="clear" w:color="auto" w:fill="FFF2CC"/>
            <w:vAlign w:val="top"/>
          </w:tcPr>
          <w:p>
            <w:r>
              <w:rPr>
                <w:sz w:val="16"/>
              </w:rPr>
              <w:t>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 RAGuard,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 “how RAG-based systems can fulfil regulatory requirements” as an open research direction, but leave actual regulatory corpus construction and engineering-calculation integration unexplored.</w:t>
            </w:r>
          </w:p>
        </w:tc>
      </w:tr>
      <w:tr>
        <w:tc>
          <w:tcPr>
            <w:tcW w:type="dxa" w:w="576"/>
            <w:shd w:val="clear" w:color="auto" w:fill="FFF2CC"/>
            <w:vAlign w:val="top"/>
          </w:tcPr>
          <w:p>
            <w:r>
              <w:rPr>
                <w:sz w:val="16"/>
              </w:rPr>
              <w:t>6</w:t>
            </w:r>
          </w:p>
        </w:tc>
        <w:tc>
          <w:tcPr>
            <w:tcW w:type="dxa" w:w="2880"/>
            <w:shd w:val="clear" w:color="auto" w:fill="FFF2CC"/>
            <w:vAlign w:val="top"/>
          </w:tcPr>
          <w:p>
            <w:r>
              <w:rPr>
                <w:b/>
                <w:sz w:val="16"/>
              </w:rPr>
              <w:t xml:space="preserve">[REVISED] </w:t>
            </w:r>
            <w:r>
              <w:rPr>
                <w:sz w:val="16"/>
              </w:rPr>
              <w:t>2.3 Multi-Discipline Maintenance and Asset Integrity</w:t>
            </w:r>
          </w:p>
        </w:tc>
        <w:tc>
          <w:tcPr>
            <w:tcW w:type="dxa" w:w="5760"/>
            <w:shd w:val="clear" w:color="auto" w:fill="FFF2CC"/>
            <w:vAlign w:val="top"/>
          </w:tcPr>
          <w:p>
            <w:r>
              <w:rPr>
                <w:sz w:val="16"/>
              </w:rPr>
              <w:t>(was: 2.3 Multi-discipline asset integrity)</w:t>
              <w:br/>
              <w:br/>
              <w:t>AI-based asset integrity frameworks (Jones et al., 2025) typically address single-asset or single-discipline scope. Predictive maintenance surveys (Hector and Panjanathan, 2024; Ait-Alla et al., 2022) cover sensor-driven monitoring without standards-based calculation verification or regulatory RAG.</w:t>
            </w:r>
          </w:p>
        </w:tc>
        <w:tc>
          <w:tcPr>
            <w:tcW w:type="dxa" w:w="5760"/>
            <w:shd w:val="clear" w:color="auto" w:fill="FFF2CC"/>
            <w:vAlign w:val="top"/>
          </w:tcPr>
          <w:p>
            <w:r>
              <w:rPr>
                <w:sz w:val="16"/>
              </w:rPr>
              <w:t>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tc>
      </w:tr>
      <w:tr>
        <w:tc>
          <w:tcPr>
            <w:tcW w:type="dxa" w:w="576"/>
            <w:shd w:val="clear" w:color="auto" w:fill="FFF2CC"/>
            <w:vAlign w:val="top"/>
          </w:tcPr>
          <w:p>
            <w:r>
              <w:rPr>
                <w:sz w:val="16"/>
              </w:rPr>
              <w:t>7</w:t>
            </w:r>
          </w:p>
        </w:tc>
        <w:tc>
          <w:tcPr>
            <w:tcW w:type="dxa" w:w="2880"/>
            <w:shd w:val="clear" w:color="auto" w:fill="FFF2CC"/>
            <w:vAlign w:val="top"/>
          </w:tcPr>
          <w:p>
            <w:r>
              <w:rPr>
                <w:b/>
                <w:sz w:val="16"/>
              </w:rPr>
              <w:t xml:space="preserve">[REVISED] </w:t>
            </w:r>
            <w:r>
              <w:rPr>
                <w:sz w:val="16"/>
              </w:rPr>
              <w:t>2.4 Verification Methodology — N-Version Programming and K-Voting</w:t>
            </w:r>
          </w:p>
        </w:tc>
        <w:tc>
          <w:tcPr>
            <w:tcW w:type="dxa" w:w="5760"/>
            <w:shd w:val="clear" w:color="auto" w:fill="FFF2CC"/>
            <w:vAlign w:val="top"/>
          </w:tcPr>
          <w:p>
            <w:r>
              <w:rPr>
                <w:sz w:val="16"/>
              </w:rPr>
              <w:t>(was: 2.4 N-version programming and consensus verification)</w:t>
              <w:br/>
              <w:br/>
              <w:t>Avizienis (1985) established the theoretical basis for N-version programming. Our K-voting consensus layer adapts this principle to engineering calculation verification—three independently varied calculation paths must agree within 1% relative deviation. To our knowledge, this application is novel in plant engineering.</w:t>
            </w:r>
          </w:p>
        </w:tc>
        <w:tc>
          <w:tcPr>
            <w:tcW w:type="dxa" w:w="5760"/>
            <w:shd w:val="clear" w:color="auto" w:fill="FFF2CC"/>
            <w:vAlign w:val="top"/>
          </w:tcPr>
          <w:p>
            <w:r>
              <w:rPr>
                <w:sz w:val="16"/>
              </w:rPr>
              <w:t>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tc>
      </w:tr>
      <w:tr>
        <w:tc>
          <w:tcPr>
            <w:tcW w:type="dxa" w:w="576"/>
            <w:shd w:val="clear" w:color="auto" w:fill="FFF2CC"/>
            <w:vAlign w:val="top"/>
          </w:tcPr>
          <w:p>
            <w:r>
              <w:rPr>
                <w:sz w:val="16"/>
              </w:rPr>
              <w:t>8</w:t>
            </w:r>
          </w:p>
        </w:tc>
        <w:tc>
          <w:tcPr>
            <w:tcW w:type="dxa" w:w="2880"/>
            <w:shd w:val="clear" w:color="auto" w:fill="FFF2CC"/>
            <w:vAlign w:val="top"/>
          </w:tcPr>
          <w:p>
            <w:r>
              <w:rPr>
                <w:b/>
                <w:sz w:val="16"/>
              </w:rPr>
              <w:t xml:space="preserve">[REVISED] </w:t>
            </w:r>
            <w:r>
              <w:rPr>
                <w:sz w:val="16"/>
              </w:rPr>
              <w:t>2.5 Korean PSM Regulation and KOSHA</w:t>
            </w:r>
          </w:p>
        </w:tc>
        <w:tc>
          <w:tcPr>
            <w:tcW w:type="dxa" w:w="5760"/>
            <w:shd w:val="clear" w:color="auto" w:fill="FFF2CC"/>
            <w:vAlign w:val="top"/>
          </w:tcPr>
          <w:p>
            <w:r>
              <w:rPr>
                <w:sz w:val="16"/>
              </w:rPr>
              <w:t>(was: 2.5 Korean PSM and KOSHA in AI)</w:t>
              <w:br/>
              <w:br/>
              <w:t>Kim et al. (2022) apply text mining to KOSHA accident reports for classification. Lee and Ahn (2025) fine-tune an LLM on KOSHA construction safety guidelines for Q&amp;A. Neither integrates KOSHA data into an engineering calculation verification layer. No prior work has reported automated detection of jurisdiction compliance gaps between international codes and Korean PSM regulations.</w:t>
            </w:r>
          </w:p>
        </w:tc>
        <w:tc>
          <w:tcPr>
            <w:tcW w:type="dxa" w:w="5760"/>
            <w:shd w:val="clear" w:color="auto" w:fill="FFF2CC"/>
            <w:vAlign w:val="top"/>
          </w:tcPr>
          <w:p>
            <w:r>
              <w:rPr>
                <w:sz w:val="16"/>
              </w:rPr>
              <w:t>Korean plants subject to the Chemical Substances Control Act and the Occupational Safety and Health Act 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tc>
      </w:tr>
      <w:tr>
        <w:tc>
          <w:tcPr>
            <w:tcW w:type="dxa" w:w="576"/>
            <w:shd w:val="clear" w:color="auto" w:fill="E2F0D9"/>
            <w:vAlign w:val="top"/>
          </w:tcPr>
          <w:p>
            <w:r>
              <w:rPr>
                <w:sz w:val="16"/>
              </w:rPr>
              <w:t>9</w:t>
            </w:r>
          </w:p>
        </w:tc>
        <w:tc>
          <w:tcPr>
            <w:tcW w:type="dxa" w:w="2880"/>
            <w:shd w:val="clear" w:color="auto" w:fill="E2F0D9"/>
            <w:vAlign w:val="top"/>
          </w:tcPr>
          <w:p>
            <w:r>
              <w:rPr>
                <w:b/>
                <w:sz w:val="16"/>
              </w:rPr>
              <w:t xml:space="preserve">[NEW] </w:t>
            </w:r>
            <w:r>
              <w:rPr>
                <w:sz w:val="16"/>
              </w:rPr>
              <w:t>2.6 Position relative to HAZOP, RBI, and Digital Twin</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proposed framework is intentionally complementary to — not a replacement for — established process-safety methods. HAZOP identifies process deviations through expert-led, multidisciplinary workshops; RBI (Risk-Based Inspection) optimises inspection strategy from equipment degradation models; Digital Twins maintain a live or near-live mirror of plant state. None of these methods natively encodes jurisdiction-specific statutory obligations. The present system fills that gap as a compliance co-pilot 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tc>
      </w:tr>
      <w:tr>
        <w:tc>
          <w:tcPr>
            <w:tcW w:type="dxa" w:w="576"/>
            <w:shd w:val="clear" w:color="auto" w:fill="FFF2CC"/>
            <w:vAlign w:val="top"/>
          </w:tcPr>
          <w:p>
            <w:r>
              <w:rPr>
                <w:sz w:val="16"/>
              </w:rPr>
              <w:t>10</w:t>
            </w:r>
          </w:p>
        </w:tc>
        <w:tc>
          <w:tcPr>
            <w:tcW w:type="dxa" w:w="2880"/>
            <w:shd w:val="clear" w:color="auto" w:fill="FFF2CC"/>
            <w:vAlign w:val="top"/>
          </w:tcPr>
          <w:p>
            <w:r>
              <w:rPr>
                <w:b/>
                <w:sz w:val="16"/>
              </w:rPr>
              <w:t xml:space="preserve">[REVISED] </w:t>
            </w:r>
            <w:r>
              <w:rPr>
                <w:sz w:val="16"/>
              </w:rPr>
              <w:t>3 System Architecture</w:t>
            </w:r>
          </w:p>
        </w:tc>
        <w:tc>
          <w:tcPr>
            <w:tcW w:type="dxa" w:w="5760"/>
            <w:shd w:val="clear" w:color="auto" w:fill="FFF2CC"/>
            <w:vAlign w:val="top"/>
          </w:tcPr>
          <w:p>
            <w:r>
              <w:rPr>
                <w:sz w:val="16"/>
              </w:rPr>
            </w:r>
          </w:p>
        </w:tc>
        <w:tc>
          <w:tcPr>
            <w:tcW w:type="dxa" w:w="5760"/>
            <w:shd w:val="clear" w:color="auto" w:fill="FFF2CC"/>
            <w:vAlign w:val="top"/>
          </w:tcPr>
          <w:p>
            <w:r>
              <w:rPr>
                <w:sz w:val="16"/>
              </w:rPr>
              <w:t>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(src/orchestrator/pipeline.py, src/orchestrator/state_machine.py). Each domain service follows an identical four-layer verification structure (src/services/&lt;discipline&gt;_service.py). Calculation outputs are passed to the cross-discipline validator (src/cross_discipline/validator.py) for coupling hazard analysis across ten predefined domain pairs. The KOSHA RAG layer (src/rag/local_kosha_rag.py) translates the domain calculation context into a Korean natural-language query, retrieves relevant regulatory passages from a local SQLite FTS5 index, and uses an on-premises Qwen 2.5 7B Instruct model (qwen2.5:7b-instruct, 4-bit quantisation, 32,768-token context window) to generate structured regulatory grounding covering key conclusions, regulatory justification, and practical advisories. The final output is an integrated report …[truncated]</w:t>
            </w:r>
          </w:p>
        </w:tc>
      </w:tr>
      <w:tr>
        <w:tc>
          <w:tcPr>
            <w:tcW w:type="dxa" w:w="576"/>
            <w:shd w:val="clear" w:color="auto" w:fill="FFF2CC"/>
            <w:vAlign w:val="top"/>
          </w:tcPr>
          <w:p>
            <w:r>
              <w:rPr>
                <w:sz w:val="16"/>
              </w:rPr>
              <w:t>11</w:t>
            </w:r>
          </w:p>
        </w:tc>
        <w:tc>
          <w:tcPr>
            <w:tcW w:type="dxa" w:w="2880"/>
            <w:shd w:val="clear" w:color="auto" w:fill="FFF2CC"/>
            <w:vAlign w:val="top"/>
          </w:tcPr>
          <w:p>
            <w:r>
              <w:rPr>
                <w:b/>
                <w:sz w:val="16"/>
              </w:rPr>
              <w:t xml:space="preserve">[REVISED] </w:t>
            </w:r>
            <w:r>
              <w:rPr>
                <w:sz w:val="16"/>
              </w:rPr>
              <w:t>4.1 Corpus Construction</w:t>
            </w:r>
          </w:p>
        </w:tc>
        <w:tc>
          <w:tcPr>
            <w:tcW w:type="dxa" w:w="5760"/>
            <w:shd w:val="clear" w:color="auto" w:fill="FFF2CC"/>
            <w:vAlign w:val="top"/>
          </w:tcPr>
          <w:p>
            <w:r>
              <w:rPr>
                <w:sz w:val="16"/>
              </w:rPr>
              <w:t>(was: 5.1 Corpus construction)</w:t>
              <w:br/>
              <w:br/>
              <w:t>Two KOSHA public APIs were used: Smart-search API: 18,576 rows of guide-section and statutory-provision metadata across categories 1–11, covering 1,327 guide documents (9,069 sections) and 3,102 statutory provisions. Guide API: 1,039 of the 1,327 guide documents were available as downloadable PDFs; these were parsed page-by-page and segmented into 13,084 retrieval-optimised chunks. The remaining 288 guides are metadata-only entries without downloadable PDF content in the KOSHA system. After deduplication and normalisation, the SQLite FTS5 index contains 16,186 searchable rows (13,084 guide chunks from parsed PDFs + 3,102 law-article entries from the smart-search API; 200 MB total).</w:t>
            </w:r>
          </w:p>
        </w:tc>
        <w:tc>
          <w:tcPr>
            <w:tcW w:type="dxa" w:w="5760"/>
            <w:shd w:val="clear" w:color="auto" w:fill="FFF2CC"/>
            <w:vAlign w:val="top"/>
          </w:tcPr>
          <w:p>
            <w:r>
              <w:rPr>
                <w:sz w:val="16"/>
              </w:rPr>
              <w:t>The KOSHA regulatory corpus was assembled from two public APIs of the Korean Open Data Portal (data.go.kr). The KOSHA smart-search endpoint (/B552468/srch/smartSearch) was used to harvest 18,576 rows of guide-section and statutory-provision metadata across ten categories — categories 1–9 and 11; category 10 is unused by the KOSHA Smart-search API and therefore omitted by construction. The harvest comprises 1,327 guide documents (9,069 sections) and 3,102 statutory-provision rows (datasets/kosha/manifest.json). The KOSHA Guide PDF endpoint was used to download 1,039 technical guideline PDFs, which were parsed page-by-page, segmented into 13,084 retrieval-optimised chunks, and normalised. After parsing and indexing, the SQLite FTS5 index used at retrieval time retains 16,174 searchable rows = 13,084 guide chunks + 3,090 indexed law-article entries. Twelve law-article rows were excluded by src/rag/local_kosha_rag.py:185 because their content field was empty in the source API response. Triage of these twelve (outputs/kosha_missing_articles_report.md) shows that four are repealed (삭제) provisions for which an empty body is expected and the row is correctly excluded; the remaining eight …[truncated]</w:t>
            </w:r>
          </w:p>
        </w:tc>
      </w:tr>
      <w:tr>
        <w:tc>
          <w:tcPr>
            <w:tcW w:type="dxa" w:w="576"/>
            <w:shd w:val="clear" w:color="auto" w:fill="FFF2CC"/>
            <w:vAlign w:val="top"/>
          </w:tcPr>
          <w:p>
            <w:r>
              <w:rPr>
                <w:sz w:val="16"/>
              </w:rPr>
              <w:t>12</w:t>
            </w:r>
          </w:p>
        </w:tc>
        <w:tc>
          <w:tcPr>
            <w:tcW w:type="dxa" w:w="2880"/>
            <w:shd w:val="clear" w:color="auto" w:fill="FFF2CC"/>
            <w:vAlign w:val="top"/>
          </w:tcPr>
          <w:p>
            <w:r>
              <w:rPr>
                <w:b/>
                <w:sz w:val="16"/>
              </w:rPr>
              <w:t xml:space="preserve">[REVISED] </w:t>
            </w:r>
            <w:r>
              <w:rPr>
                <w:sz w:val="16"/>
              </w:rPr>
              <w:t>4.2 Retrieval and Generation Pipeline</w:t>
            </w:r>
          </w:p>
        </w:tc>
        <w:tc>
          <w:tcPr>
            <w:tcW w:type="dxa" w:w="5760"/>
            <w:shd w:val="clear" w:color="auto" w:fill="FFF2CC"/>
            <w:vAlign w:val="top"/>
          </w:tcPr>
          <w:p>
            <w:r>
              <w:rPr>
                <w:sz w:val="16"/>
              </w:rPr>
              <w:t>(was: 5.3 Generation pipeline)</w:t>
              <w:br/>
              <w:br/>
              <w:t>Retrieved passages provide context for Qwen 2.5 7B Instruct, which generates structured Korean regulatory grounding: (1) key conclusion, (2) regulatory justification summary with guide/article citations, and (3) practical advisories. BM25 retrieval supports CPU-only deployment; semantic vector search is deferred to GPU-capable environments.</w:t>
            </w:r>
          </w:p>
        </w:tc>
        <w:tc>
          <w:tcPr>
            <w:tcW w:type="dxa" w:w="5760"/>
            <w:shd w:val="clear" w:color="auto" w:fill="FFF2CC"/>
            <w:vAlign w:val="top"/>
          </w:tcPr>
          <w:p>
            <w:r>
              <w:rPr>
                <w:sz w:val="16"/>
              </w:rPr>
              <w:t>At query time, the calculation context (material, fluid composition, design pressure / temperature, computed remaining life, red-flag set) is converted into a Korean natural-language query by a concept-aware query builder. Each query concept is expanded with curated synonyms (e.g., corrosion ↔ 부식 ↔ corrosion rate ↔ CR), concept clauses are joined with AND, and synonym variants within a concept are joined with OR. When the strict expansion returns no hits, a loose expanded OR fallback is invoked. Retrieved passages (top-k = 10 by default) are passed to Qwen 2.5 7B Instruct with a system prompt that constrains the output to three sections: (1) Key conclusion, (2) Regulatory justification summary referencing each retrieved passage by index, and (3) Practical advisories with citation indices. The model is instructed never to introduce regulatory facts not present in the supplied context. Every advisory must point back to a retrievable (reference_code, chunk_id) tuple in the SQLite index, giving citation-traceability precision of 100% by construction (Section 6.7). The current implementation uses BM25 to support CPU-only on-premises deployment without GPU resources; transition to …[truncated]</w:t>
            </w:r>
          </w:p>
        </w:tc>
      </w:tr>
      <w:tr>
        <w:tc>
          <w:tcPr>
            <w:tcW w:type="dxa" w:w="576"/>
            <w:shd w:val="clear" w:color="auto" w:fill="E2F0D9"/>
            <w:vAlign w:val="top"/>
          </w:tcPr>
          <w:p>
            <w:r>
              <w:rPr>
                <w:sz w:val="16"/>
              </w:rPr>
              <w:t>13</w:t>
            </w:r>
          </w:p>
        </w:tc>
        <w:tc>
          <w:tcPr>
            <w:tcW w:type="dxa" w:w="2880"/>
            <w:shd w:val="clear" w:color="auto" w:fill="E2F0D9"/>
            <w:vAlign w:val="top"/>
          </w:tcPr>
          <w:p>
            <w:r>
              <w:rPr>
                <w:b/>
                <w:sz w:val="16"/>
              </w:rPr>
              <w:t xml:space="preserve">[NEW] </w:t>
            </w:r>
            <w:r>
              <w:rPr>
                <w:sz w:val="16"/>
              </w:rPr>
              <w:t>4.3 KOSHA Regulatory Grounding — Mandatory vs Guidance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KOSHA-derived obligations differ in legal force. We distinguish two categories throughout this paper: Mandatory (mandatory): provisions of the Act (산업안전보건법), the Enforcement Decree, or the Rules on Occupational Safety and Health Standards (산업안전보건기준에 관한 규칙). Article 256 (“Corrosion prevention”) falls in this class. Non-fulfilment exposes the operator to administrative or criminal liability under the Act. Guidance (guidance): KOSHA technical guidelines (e.g., M-69-2012, C-C-23-2026, B-M-18-2026, C-C-75-2026). These are not legally binding by themselves, but are routinely incorporated by reference into PSM submission packages and ministerial inspections, and a measurable deviation from a guideline is treated as a material finding in PSM audits. Each retrieved passage carries this label as metadata.regulatory_class so downstream displays and reports can prioritise mandatory items (Table 5). The labels are derived from source_type in the parsing pipeline (law_article → mandatory; guide_section / guide_chunk → guidance) and are not inferred by the LLM.</w:t>
            </w:r>
          </w:p>
        </w:tc>
      </w:tr>
      <w:tr>
        <w:tc>
          <w:tcPr>
            <w:tcW w:type="dxa" w:w="576"/>
            <w:shd w:val="clear" w:color="auto" w:fill="E2F0D9"/>
            <w:vAlign w:val="top"/>
          </w:tcPr>
          <w:p>
            <w:r>
              <w:rPr>
                <w:sz w:val="16"/>
              </w:rPr>
              <w:t>14</w:t>
            </w:r>
          </w:p>
        </w:tc>
        <w:tc>
          <w:tcPr>
            <w:tcW w:type="dxa" w:w="2880"/>
            <w:shd w:val="clear" w:color="auto" w:fill="E2F0D9"/>
            <w:vAlign w:val="top"/>
          </w:tcPr>
          <w:p>
            <w:r>
              <w:rPr>
                <w:b/>
                <w:sz w:val="16"/>
              </w:rPr>
              <w:t xml:space="preserve">[NEW] </w:t>
            </w:r>
            <w:r>
              <w:rPr>
                <w:sz w:val="16"/>
              </w:rPr>
              <w:t>4.4 Why standard EPC workflows do not cover these obligations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 Rules on Occupational Safety and Health Standards 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tc>
      </w:tr>
      <w:tr>
        <w:tc>
          <w:tcPr>
            <w:tcW w:type="dxa" w:w="576"/>
            <w:shd w:val="clear" w:color="auto" w:fill="FFF2CC"/>
            <w:vAlign w:val="top"/>
          </w:tcPr>
          <w:p>
            <w:r>
              <w:rPr>
                <w:sz w:val="16"/>
              </w:rPr>
              <w:t>15</w:t>
            </w:r>
          </w:p>
        </w:tc>
        <w:tc>
          <w:tcPr>
            <w:tcW w:type="dxa" w:w="2880"/>
            <w:shd w:val="clear" w:color="auto" w:fill="FFF2CC"/>
            <w:vAlign w:val="top"/>
          </w:tcPr>
          <w:p>
            <w:r>
              <w:rPr>
                <w:b/>
                <w:sz w:val="16"/>
              </w:rPr>
              <w:t xml:space="preserve">[REVISED] </w:t>
            </w:r>
            <w:r>
              <w:rPr>
                <w:sz w:val="16"/>
              </w:rPr>
              <w:t>5 Seven-Domain Calculation Engines and Four-Layer Verification</w:t>
            </w:r>
          </w:p>
        </w:tc>
        <w:tc>
          <w:tcPr>
            <w:tcW w:type="dxa" w:w="5760"/>
            <w:shd w:val="clear" w:color="auto" w:fill="FFF2CC"/>
            <w:vAlign w:val="top"/>
          </w:tcPr>
          <w:p>
            <w:r>
              <w:rPr>
                <w:sz w:val="16"/>
              </w:rPr>
              <w:t>(was: 2.1 Expert systems for engineering verification)</w:t>
              <w:br/>
              <w:br/>
              <w:t>Expert systems have a long history in engineering domains, from early rule-based diagnostic systems to modern AI-assisted design tools. In process safety, Selvam et al. (2026) review AI applications across hazard detection and risk assessment, reporting 30–60% accuracy gains while noting regulatory uncertainty as a primary limitation. Woo et al. (2025) survey LLM applications in process systems engineering but do not address multi-discipline verification or regulatory corpus integration. Elhosary et al. (2024) propose an LLM-assisted HAZOP system using RAG, limited to single-process scope. None of these works address the systematic detection of jurisdiction compliance gaps.</w:t>
            </w:r>
          </w:p>
        </w:tc>
        <w:tc>
          <w:tcPr>
            <w:tcW w:type="dxa" w:w="5760"/>
            <w:shd w:val="clear" w:color="auto" w:fill="FFF2CC"/>
            <w:vAlign w:val="top"/>
          </w:tcPr>
          <w:p>
            <w:r>
              <w:rPr>
                <w:sz w:val="16"/>
              </w:rPr>
            </w:r>
          </w:p>
        </w:tc>
      </w:tr>
      <w:tr>
        <w:tc>
          <w:tcPr>
            <w:tcW w:type="dxa" w:w="576"/>
            <w:shd w:val="clear" w:color="auto" w:fill="FFF2CC"/>
            <w:vAlign w:val="top"/>
          </w:tcPr>
          <w:p>
            <w:r>
              <w:rPr>
                <w:sz w:val="16"/>
              </w:rPr>
              <w:t>16</w:t>
            </w:r>
          </w:p>
        </w:tc>
        <w:tc>
          <w:tcPr>
            <w:tcW w:type="dxa" w:w="2880"/>
            <w:shd w:val="clear" w:color="auto" w:fill="FFF2CC"/>
            <w:vAlign w:val="top"/>
          </w:tcPr>
          <w:p>
            <w:r>
              <w:rPr>
                <w:b/>
                <w:sz w:val="16"/>
              </w:rPr>
              <w:t xml:space="preserve">[REVISED] </w:t>
            </w:r>
            <w:r>
              <w:rPr>
                <w:sz w:val="16"/>
              </w:rPr>
              <w:t>5.1 Domain Calculation Engines</w:t>
            </w:r>
          </w:p>
        </w:tc>
        <w:tc>
          <w:tcPr>
            <w:tcW w:type="dxa" w:w="5760"/>
            <w:shd w:val="clear" w:color="auto" w:fill="FFF2CC"/>
            <w:vAlign w:val="top"/>
          </w:tcPr>
          <w:p>
            <w:r>
              <w:rPr>
                <w:sz w:val="16"/>
              </w:rPr>
              <w:t>(was: 4.2 Domain engines)</w:t>
              <w:br/>
              <w:br/>
            </w:r>
          </w:p>
        </w:tc>
        <w:tc>
          <w:tcPr>
            <w:tcW w:type="dxa" w:w="5760"/>
            <w:shd w:val="clear" w:color="auto" w:fill="FFF2CC"/>
            <w:vAlign w:val="top"/>
          </w:tcPr>
          <w:p>
            <w:r>
              <w:rPr>
                <w:sz w:val="16"/>
              </w:rPr>
              <w:t>The seven domain calculation engines implement the standards listed in Table 1. Engine source files are under src/services/&lt;discipline&gt;_service.py; per-engine standard mappings and citation tables are in src/standards/. Table 1. Domain Calculation Engines and Standards 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(src/orchestrator/state_machine.py), which routes a request to one or more discipline services and then to the cross-discipline validator.</w:t>
            </w:r>
          </w:p>
        </w:tc>
      </w:tr>
      <w:tr>
        <w:tc>
          <w:tcPr>
            <w:tcW w:type="dxa" w:w="576"/>
            <w:shd w:val="clear" w:color="auto" w:fill="FFF2CC"/>
            <w:vAlign w:val="top"/>
          </w:tcPr>
          <w:p>
            <w:r>
              <w:rPr>
                <w:sz w:val="16"/>
              </w:rPr>
              <w:t>17</w:t>
            </w:r>
          </w:p>
        </w:tc>
        <w:tc>
          <w:tcPr>
            <w:tcW w:type="dxa" w:w="2880"/>
            <w:shd w:val="clear" w:color="auto" w:fill="FFF2CC"/>
            <w:vAlign w:val="top"/>
          </w:tcPr>
          <w:p>
            <w:r>
              <w:rPr>
                <w:b/>
                <w:sz w:val="16"/>
              </w:rPr>
              <w:t xml:space="preserve">[REVISED] </w:t>
            </w:r>
            <w:r>
              <w:rPr>
                <w:sz w:val="16"/>
              </w:rPr>
              <w:t>5.2 Four-Layer Hybrid Verification Model</w:t>
            </w:r>
          </w:p>
        </w:tc>
        <w:tc>
          <w:tcPr>
            <w:tcW w:type="dxa" w:w="5760"/>
            <w:shd w:val="clear" w:color="auto" w:fill="FFF2CC"/>
            <w:vAlign w:val="top"/>
          </w:tcPr>
          <w:p>
            <w:r>
              <w:rPr>
                <w:sz w:val="16"/>
              </w:rPr>
            </w:r>
          </w:p>
        </w:tc>
        <w:tc>
          <w:tcPr>
            <w:tcW w:type="dxa" w:w="5760"/>
            <w:shd w:val="clear" w:color="auto" w:fill="FFF2CC"/>
            <w:vAlign w:val="top"/>
          </w:tcPr>
          <w:p>
            <w:r>
              <w:rPr>
                <w:sz w:val="16"/>
              </w:rPr>
              <w:t>Layer 1 — Input Validation. Checks mandatory field presence, unit-contract compliance (every numerical field carries an explicit unit such as MPa, mm, °C), and domain-specific range constraints (e.g., design pressure within ASME Section II material allowable). Missing critical fields or unit inconsistencies trigger a blocking error that prevents downstream calculation. Layer 2 — K-Voting Consensus. Three calculation paths execute in parallel, each using deliberately varied numerical strategies — rounding order, interpolation method, and intermediate-precision handling. The maximum relative deviation among outputs must not exceed 1%. If the threshold is exceeded, a tiebreaker path is invoked; persistent consensus failure raises a no_consensus flag and requests human review. The mechanism is motivated by the N-version programming principle [11] but is restricted to numerical-consistency verification rather than full implementation independence; design rationale and threshold sensitivity are discussed in §5.4. Layer 3 — Physics and Code Compliance. Domain-specific red flags are enforced. For example, a measured thickness below the computed minimum required thickness raises a critical …[truncated]</w:t>
            </w:r>
          </w:p>
        </w:tc>
      </w:tr>
      <w:tr>
        <w:tc>
          <w:tcPr>
            <w:tcW w:type="dxa" w:w="576"/>
            <w:shd w:val="clear" w:color="auto" w:fill="FFF2CC"/>
            <w:vAlign w:val="top"/>
          </w:tcPr>
          <w:p>
            <w:r>
              <w:rPr>
                <w:sz w:val="16"/>
              </w:rPr>
              <w:t>18</w:t>
            </w:r>
          </w:p>
        </w:tc>
        <w:tc>
          <w:tcPr>
            <w:tcW w:type="dxa" w:w="2880"/>
            <w:shd w:val="clear" w:color="auto" w:fill="FFF2CC"/>
            <w:vAlign w:val="top"/>
          </w:tcPr>
          <w:p>
            <w:r>
              <w:rPr>
                <w:b/>
                <w:sz w:val="16"/>
              </w:rPr>
              <w:t xml:space="preserve">[REVISED] </w:t>
            </w:r>
            <w:r>
              <w:rPr>
                <w:sz w:val="16"/>
              </w:rPr>
              <w:t>5.3 Cross-Discipline Consistency Validator</w:t>
            </w:r>
          </w:p>
        </w:tc>
        <w:tc>
          <w:tcPr>
            <w:tcW w:type="dxa" w:w="5760"/>
            <w:shd w:val="clear" w:color="auto" w:fill="FFF2CC"/>
            <w:vAlign w:val="top"/>
          </w:tcPr>
          <w:p>
            <w:r>
              <w:rPr>
                <w:sz w:val="16"/>
              </w:rPr>
              <w:t>(was: 6.5 Cross-discipline coupling validator)</w:t>
              <w:br/>
              <w:br/>
              <w:t>Ten predefined domain pairs with coupling checks: Threshold tuning over 50 optimisation rounds achieved: standard-case blocking rate 0.0 (no false positives on nominal cases), boundary/failure blocking rate 1.0, weighted accuracy 1.0, and hard-block recall 1.0.</w:t>
            </w:r>
          </w:p>
        </w:tc>
        <w:tc>
          <w:tcPr>
            <w:tcW w:type="dxa" w:w="5760"/>
            <w:shd w:val="clear" w:color="auto" w:fill="FFF2CC"/>
            <w:vAlign w:val="top"/>
          </w:tcPr>
          <w:p>
            <w:r>
              <w:rPr>
                <w:sz w:val="16"/>
              </w:rPr>
              <w:t>The cross-discipline validator (src/cross_discipline/validator.py) performs coupling checks across ten predefined domain pairs,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 docs/specs/MASTER_ORCHESTRATOR_SPEC_V0.1.md. Extension to additional pairs is deferred to future work. Figure 3. Cross-discipline coupling logic: ten predefined domain pairs (piping-vessel, electrical-rotating, civil-rotating, instrumentation-electrical, etc.), trigger conditions, and downstream effect of a coupling-block decision on the orchestration pipeline.</w:t>
            </w:r>
          </w:p>
        </w:tc>
      </w:tr>
      <w:tr>
        <w:tc>
          <w:tcPr>
            <w:tcW w:type="dxa" w:w="576"/>
            <w:shd w:val="clear" w:color="auto" w:fill="E2F0D9"/>
            <w:vAlign w:val="top"/>
          </w:tcPr>
          <w:p>
            <w:r>
              <w:rPr>
                <w:sz w:val="16"/>
              </w:rPr>
              <w:t>19</w:t>
            </w:r>
          </w:p>
        </w:tc>
        <w:tc>
          <w:tcPr>
            <w:tcW w:type="dxa" w:w="2880"/>
            <w:shd w:val="clear" w:color="auto" w:fill="E2F0D9"/>
            <w:vAlign w:val="top"/>
          </w:tcPr>
          <w:p>
            <w:r>
              <w:rPr>
                <w:b/>
                <w:sz w:val="16"/>
              </w:rPr>
              <w:t xml:space="preserve">[NEW] </w:t>
            </w:r>
            <w:r>
              <w:rPr>
                <w:sz w:val="16"/>
              </w:rPr>
              <w:t>5.4 Why three paths and a 1% tolerance? — K-voting design rationale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Three K-voting design choices warrant explicit justification: the number of paths, the tolerance, and the scope of independence. Number of paths. 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 Tolerance. 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A formal threshold-sensitivity sweep (e.g., 0.1% / 0.5% / 1% / 2% / …[truncated]</w:t>
            </w:r>
          </w:p>
        </w:tc>
      </w:tr>
      <w:tr>
        <w:tc>
          <w:tcPr>
            <w:tcW w:type="dxa" w:w="576"/>
            <w:shd w:val="clear" w:color="auto" w:fill="FFF2CC"/>
            <w:vAlign w:val="top"/>
          </w:tcPr>
          <w:p>
            <w:r>
              <w:rPr>
                <w:sz w:val="16"/>
              </w:rPr>
              <w:t>20</w:t>
            </w:r>
          </w:p>
        </w:tc>
        <w:tc>
          <w:tcPr>
            <w:tcW w:type="dxa" w:w="2880"/>
            <w:shd w:val="clear" w:color="auto" w:fill="FFF2CC"/>
            <w:vAlign w:val="top"/>
          </w:tcPr>
          <w:p>
            <w:r>
              <w:rPr>
                <w:b/>
                <w:sz w:val="16"/>
              </w:rPr>
              <w:t xml:space="preserve">[REVISED] </w:t>
            </w:r>
            <w:r>
              <w:rPr>
                <w:sz w:val="16"/>
              </w:rPr>
              <w:t>6 Experiments and Evaluation</w:t>
            </w:r>
          </w:p>
        </w:tc>
        <w:tc>
          <w:tcPr>
            <w:tcW w:type="dxa" w:w="5760"/>
            <w:shd w:val="clear" w:color="auto" w:fill="FFF2CC"/>
            <w:vAlign w:val="top"/>
          </w:tcPr>
          <w:p>
            <w:r>
              <w:rPr>
                <w:sz w:val="16"/>
              </w:rPr>
            </w:r>
          </w:p>
        </w:tc>
        <w:tc>
          <w:tcPr>
            <w:tcW w:type="dxa" w:w="5760"/>
            <w:shd w:val="clear" w:color="auto" w:fill="FFF2CC"/>
            <w:vAlign w:val="top"/>
          </w:tcPr>
          <w:p>
            <w:r>
              <w:rPr>
                <w:sz w:val="16"/>
              </w:rPr>
              <w:t>The evaluation programme comprises seven analyses: (6.1) calculation-accuracy verification on the golden dataset, framed as implementation verification, not predictive validation; (6.2) end-to-end pipeline behaviour; (6.3) cross-discipline ablation for RQ1; (6.4) KOSHA RAG case studies for RQ2; (6.5) curated retrieval benchmark; (6.6) industry-baseline comparison and internal four-layer ablation; (6.7) citation-traceability and negative-case evidence.</w:t>
            </w:r>
          </w:p>
        </w:tc>
      </w:tr>
      <w:tr>
        <w:tc>
          <w:tcPr>
            <w:tcW w:type="dxa" w:w="576"/>
            <w:shd w:val="clear" w:color="auto" w:fill="FFF2CC"/>
            <w:vAlign w:val="top"/>
          </w:tcPr>
          <w:p>
            <w:r>
              <w:rPr>
                <w:sz w:val="16"/>
              </w:rPr>
              <w:t>21</w:t>
            </w:r>
          </w:p>
        </w:tc>
        <w:tc>
          <w:tcPr>
            <w:tcW w:type="dxa" w:w="2880"/>
            <w:shd w:val="clear" w:color="auto" w:fill="FFF2CC"/>
            <w:vAlign w:val="top"/>
          </w:tcPr>
          <w:p>
            <w:r>
              <w:rPr>
                <w:b/>
                <w:sz w:val="16"/>
              </w:rPr>
              <w:t xml:space="preserve">[REVISED] </w:t>
            </w:r>
            <w:r>
              <w:rPr>
                <w:sz w:val="16"/>
              </w:rPr>
              <w:t>6.1 Calculation Accuracy on the Golden Dataset (implementation verification)</w:t>
            </w:r>
          </w:p>
        </w:tc>
        <w:tc>
          <w:tcPr>
            <w:tcW w:type="dxa" w:w="5760"/>
            <w:shd w:val="clear" w:color="auto" w:fill="FFF2CC"/>
            <w:vAlign w:val="top"/>
          </w:tcPr>
          <w:p>
            <w:r>
              <w:rPr>
                <w:sz w:val="16"/>
              </w:rPr>
              <w:t>(was: 6.4 Layer 4 — Reverse verification)</w:t>
              <w:br/>
              <w:br/>
              <w:t>Key inputs are back-calculated from outputs and compared against originals: - Deviation &lt; 2%: consistent (pass). - Deviation 2–5%: warning with audit note. - Deviation &gt; 5%: escalation with confidence downgrade. This layer detects internal inconsistencies that may indicate formula errors, unit conversion mistakes, or data corruption.</w:t>
            </w:r>
          </w:p>
        </w:tc>
        <w:tc>
          <w:tcPr>
            <w:tcW w:type="dxa" w:w="5760"/>
            <w:shd w:val="clear" w:color="auto" w:fill="FFF2CC"/>
            <w:vAlign w:val="top"/>
          </w:tcPr>
          <w:p>
            <w:r>
              <w:rPr>
                <w:sz w:val="16"/>
              </w:rPr>
              <w:t>A total of 220 synthetic golden cases 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 systematic parameter perturbation 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 220/220 case passes across all seven disciplines (outputs/verification_report_runtime.md); accuracy, citation accuracy, and red-flag detection rate were each recorded at 1.0000. We deliberately frame these results as implementation verification, not predictive validation, in the sense developed in recent methodological discussions of …[truncated]</w:t>
            </w:r>
          </w:p>
        </w:tc>
      </w:tr>
      <w:tr>
        <w:tc>
          <w:tcPr>
            <w:tcW w:type="dxa" w:w="576"/>
            <w:shd w:val="clear" w:color="auto" w:fill="FFF2CC"/>
            <w:vAlign w:val="top"/>
          </w:tcPr>
          <w:p>
            <w:r>
              <w:rPr>
                <w:sz w:val="16"/>
              </w:rPr>
              <w:t>22</w:t>
            </w:r>
          </w:p>
        </w:tc>
        <w:tc>
          <w:tcPr>
            <w:tcW w:type="dxa" w:w="2880"/>
            <w:shd w:val="clear" w:color="auto" w:fill="FFF2CC"/>
            <w:vAlign w:val="top"/>
          </w:tcPr>
          <w:p>
            <w:r>
              <w:rPr>
                <w:b/>
                <w:sz w:val="16"/>
              </w:rPr>
              <w:t xml:space="preserve">[REVISED] </w:t>
            </w:r>
            <w:r>
              <w:rPr>
                <w:sz w:val="16"/>
              </w:rPr>
              <w:t>6.2 Seven-Discipline Pipeline Evaluation</w:t>
            </w:r>
          </w:p>
        </w:tc>
        <w:tc>
          <w:tcPr>
            <w:tcW w:type="dxa" w:w="5760"/>
            <w:shd w:val="clear" w:color="auto" w:fill="FFF2CC"/>
            <w:vAlign w:val="top"/>
          </w:tcPr>
          <w:p>
            <w:r>
              <w:rPr>
                <w:sz w:val="16"/>
              </w:rPr>
              <w:t>(was: 7.2 Seven-discipline pipeline)</w:t>
              <w:br/>
              <w:br/>
              <w:t>Across 43 pipeline scenarios: completion rate 0.6512, blocking rate 0.3488. Nominal and standard-aligned cases: 1.0000 completion. Boundary and failure cases: 1.0000 blocking. This confirms correct hazard identification without false positives on clean inputs.</w:t>
            </w:r>
          </w:p>
        </w:tc>
        <w:tc>
          <w:tcPr>
            <w:tcW w:type="dxa" w:w="5760"/>
            <w:shd w:val="clear" w:color="auto" w:fill="FFF2CC"/>
            <w:vAlign w:val="top"/>
          </w:tcPr>
          <w:p>
            <w:r>
              <w:rPr>
                <w:sz w:val="16"/>
              </w:rPr>
              <w:t>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 outputs/seven_pipeline_report.md, generated by scripts/benchmark_seven_pipeline.py over the seven datasets/golden_standards/*_golden_dataset_v1.json files; this 43-scenario set measures end-to-end pipeline behaviour and is distinct from the 60-scenario cross-discipline ablation set of §6.3, which is constructed by scripts/benchmark_cross_discipline_ablation.py via the aligned_* and mixed_* index builders against the same underlying golden datasets.)</w:t>
            </w:r>
          </w:p>
        </w:tc>
      </w:tr>
      <w:tr>
        <w:tc>
          <w:tcPr>
            <w:tcW w:type="dxa" w:w="576"/>
            <w:shd w:val="clear" w:color="auto" w:fill="FFF2CC"/>
            <w:vAlign w:val="top"/>
          </w:tcPr>
          <w:p>
            <w:r>
              <w:rPr>
                <w:sz w:val="16"/>
              </w:rPr>
              <w:t>23</w:t>
            </w:r>
          </w:p>
        </w:tc>
        <w:tc>
          <w:tcPr>
            <w:tcW w:type="dxa" w:w="2880"/>
            <w:shd w:val="clear" w:color="auto" w:fill="FFF2CC"/>
            <w:vAlign w:val="top"/>
          </w:tcPr>
          <w:p>
            <w:r>
              <w:rPr>
                <w:b/>
                <w:sz w:val="16"/>
              </w:rPr>
              <w:t xml:space="preserve">[REVISED] </w:t>
            </w:r>
            <w:r>
              <w:rPr>
                <w:sz w:val="16"/>
              </w:rPr>
              <w:t>6.3 Cross-Discipline Validator Ablation (RQ1)</w:t>
            </w:r>
          </w:p>
        </w:tc>
        <w:tc>
          <w:tcPr>
            <w:tcW w:type="dxa" w:w="5760"/>
            <w:shd w:val="clear" w:color="auto" w:fill="FFF2CC"/>
            <w:vAlign w:val="top"/>
          </w:tcPr>
          <w:p>
            <w:r>
              <w:rPr>
                <w:sz w:val="16"/>
              </w:rPr>
              <w:t>(was: 7.3 Cross-discipline validator ablation (RQ1))</w:t>
              <w:br/>
              <w:br/>
              <w:t>Finding (RQ1): Cross-discipline validation adds 25 blocked scenarios (+41.7%) that single-domain calculations cannot detect. Boundary and failure subsets achieve perfect blocking (1.0). Zero false positives on standard-aligned cases. The baseline (validator OFF) blocking rate of 0/60 requires explanation. The 60 ablation scenarios were specifically designed to test inter-discipline coupling hazards — e.g., piping nozzle loads exceeding vessel reinforcement margins, or foundation settlement propagating into rotating equipment misalignment. Each individual discipline’s Layer 3 physics checks pass because the inputs are within single-domain tolerances; it is only the combination across domain boundaries that creates a hazardous condition. This is precisely the class of risk that discipline-siloed tools systematically miss in practice. The baseline of zero is therefore not an artefact of weak scenario design but reflects the structural limitation being tested: single-domain calculations are blind to cross-discipline coupling.</w:t>
            </w:r>
          </w:p>
        </w:tc>
        <w:tc>
          <w:tcPr>
            <w:tcW w:type="dxa" w:w="5760"/>
            <w:shd w:val="clear" w:color="auto" w:fill="FFF2CC"/>
            <w:vAlign w:val="top"/>
          </w:tcPr>
          <w:p>
            <w:r>
              <w:rPr>
                <w:sz w:val="16"/>
              </w:rPr>
              <w:t>To quantify the incremental contribution of cross-discipline coupling logic, we evaluated the same 60 benchmark scenarios with the cross-discipline validator disabled and enabled (outputs/cross_discipline_ablation_report.md). With the validator disabled, 0/60 scenarios were blocked. With the validator enabled, 26/60 scenarios were blocked, an absolute increase of +26 and a blocking-ratio increase of +0.4333. The most informative subsets are aligned boundary and aligned failure, where blocking rises from 0.0 to 1.0 in both cases. Mixed scenarios also show non-trivial deltas: mixed_first20 rises from 0.0 to 0.15, and mixed_random20 rises from 0.0 to 0.65. Table 3. Cross-Discipline Validator Ablation (RQ1) Figure 4. Cross-discipline ablation (60 scenarios): blocked counts by scenario set, validator OFF vs ON. Total rises 0 → 26 (+43.3%); aligned-boundary and aligned-failure subsets rise from 0/n to n/n; mixed sets show partial coverage proportional to coupling density. Significance of detections. Per-failure-mode partition of the 26 blocked scenarios (outputs/ablation_failure_mode_partition.md, computed by scripts/dump_ablation_hits.py): Detections concentrate in the piping-vessel …[truncated]</w:t>
            </w:r>
          </w:p>
        </w:tc>
      </w:tr>
      <w:tr>
        <w:tc>
          <w:tcPr>
            <w:tcW w:type="dxa" w:w="576"/>
            <w:shd w:val="clear" w:color="auto" w:fill="FFF2CC"/>
            <w:vAlign w:val="top"/>
          </w:tcPr>
          <w:p>
            <w:r>
              <w:rPr>
                <w:sz w:val="16"/>
              </w:rPr>
              <w:t>24</w:t>
            </w:r>
          </w:p>
        </w:tc>
        <w:tc>
          <w:tcPr>
            <w:tcW w:type="dxa" w:w="2880"/>
            <w:shd w:val="clear" w:color="auto" w:fill="FFF2CC"/>
            <w:vAlign w:val="top"/>
          </w:tcPr>
          <w:p>
            <w:r>
              <w:rPr>
                <w:b/>
                <w:sz w:val="16"/>
              </w:rPr>
              <w:t xml:space="preserve">[REVISED] </w:t>
            </w:r>
            <w:r>
              <w:rPr>
                <w:sz w:val="16"/>
              </w:rPr>
              <w:t>6.4 KOSHA RAG Regulatory Grounding — Three Cases (RQ2)</w:t>
            </w:r>
          </w:p>
        </w:tc>
        <w:tc>
          <w:tcPr>
            <w:tcW w:type="dxa" w:w="5760"/>
            <w:shd w:val="clear" w:color="auto" w:fill="FFF2CC"/>
            <w:vAlign w:val="top"/>
          </w:tcPr>
          <w:p>
            <w:r>
              <w:rPr>
                <w:sz w:val="16"/>
              </w:rPr>
              <w:t>(was: 7.4 KOSHA RAG retrieval benchmark (RQ2))</w:t>
              <w:br/>
              <w:br/>
              <w:t>The benchmark comprises 50 queries organised as five regulatory target groups (10 queries each), where each group targets a specific KOSHA guide or statutory provision relevant to the three manuscript case studies: M-69-2012 (remaining life assessment), C-C-23-2026 (RBI regulation), B-M-18-2026 (piping life management), C-C-75-2026 (corrosion risk assessment), and Article 256 (corrosion prevention). Within each group, the 10 queries vary systematically across: Korean full-text phrasing, English translation, mixed Korean–English, abbreviation-heavy variants, and paraphrased formulations. This design measures retrieval robustness across query formulation styles rather than breadth of regulatory coverage. The query set is released for independent inspection. Concept-aware synonym expansion yields +68% relative improvement in Recall@1 and +38% relative improvement in MRR@10.</w:t>
            </w:r>
          </w:p>
        </w:tc>
        <w:tc>
          <w:tcPr>
            <w:tcW w:type="dxa" w:w="5760"/>
            <w:shd w:val="clear" w:color="auto" w:fill="FFF2CC"/>
            <w:vAlign w:val="top"/>
          </w:tcPr>
          <w:p>
            <w:r>
              <w:rPr>
                <w:sz w:val="16"/>
              </w:rPr>
              <w:t>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tc>
      </w:tr>
      <w:tr>
        <w:tc>
          <w:tcPr>
            <w:tcW w:type="dxa" w:w="576"/>
            <w:shd w:val="clear" w:color="auto" w:fill="E2F0D9"/>
            <w:vAlign w:val="top"/>
          </w:tcPr>
          <w:p>
            <w:r>
              <w:rPr>
                <w:sz w:val="16"/>
              </w:rPr>
              <w:t>25</w:t>
            </w:r>
          </w:p>
        </w:tc>
        <w:tc>
          <w:tcPr>
            <w:tcW w:type="dxa" w:w="2880"/>
            <w:shd w:val="clear" w:color="auto" w:fill="E2F0D9"/>
            <w:vAlign w:val="top"/>
          </w:tcPr>
          <w:p>
            <w:r>
              <w:rPr>
                <w:b/>
                <w:sz w:val="16"/>
              </w:rPr>
              <w:t xml:space="preserve">[NEW] </w:t>
            </w:r>
            <w:r>
              <w:rPr>
                <w:sz w:val="16"/>
              </w:rPr>
              <w:t>Case 1 — Vessel Remaining Life (VES-GOLD-001)</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For an SA-516-70 pressure vessel (design pressure 1.858 MPa, 217.3 °C, current thickness 44.82 mm), the calculation engine computes a required shell thickness of 14.99 mm under ASME Section VIII UG-27, a remaining life of 136.3 years, and an API 510 inspection interval of 10 years, with no red flags raised. The KOSHA RAG layer retrieves M-69-2012 (Technical Guideline for Remaining Life Assessment of Pressure Vessels) as the top-ranked passage and identifies documentation requirements that are triggered when remaining life exceeds a defined threshold — requirements absent from the engine’s output. Why this matters: even a “very safe” vessel under ASME triggers a KOSHA documentation obligation that, if skipped, exposes the operator to a PSM-audit finding.</w:t>
            </w:r>
          </w:p>
        </w:tc>
      </w:tr>
      <w:tr>
        <w:tc>
          <w:tcPr>
            <w:tcW w:type="dxa" w:w="576"/>
            <w:shd w:val="clear" w:color="auto" w:fill="E2F0D9"/>
            <w:vAlign w:val="top"/>
          </w:tcPr>
          <w:p>
            <w:r>
              <w:rPr>
                <w:sz w:val="16"/>
              </w:rPr>
              <w:t>26</w:t>
            </w:r>
          </w:p>
        </w:tc>
        <w:tc>
          <w:tcPr>
            <w:tcW w:type="dxa" w:w="2880"/>
            <w:shd w:val="clear" w:color="auto" w:fill="E2F0D9"/>
            <w:vAlign w:val="top"/>
          </w:tcPr>
          <w:p>
            <w:r>
              <w:rPr>
                <w:b/>
                <w:sz w:val="16"/>
              </w:rPr>
              <w:t xml:space="preserve">[NEW] </w:t>
            </w:r>
            <w:r>
              <w:rPr>
                <w:sz w:val="16"/>
              </w:rPr>
              <w:t>Case 2 — RBI Planning (VES-GOLD-009)</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For a vessel with a remaining life of 40.2 years (SA-516-70, 1.891 MPa, 241.9 °C), the engine recommends a 10-year inspection interval per API 510. The KOSHA RAG layer retrieves C-C-23-2026 (Technical Regulation for Equipment Reliability via Risk-Based Inspection) and B-M-18-2026 (Technical Regulation for Piping Life Management), identifying the trigger conditions under which a mandatory RBI review must be initiated under the Korean PSM framework. Why this matters: API 510’s calendar-based interval can be longer than the KOSHA RBI trigger-driven interval; following only API 510 leaves an under-inspection gap.</w:t>
            </w:r>
          </w:p>
        </w:tc>
      </w:tr>
      <w:tr>
        <w:tc>
          <w:tcPr>
            <w:tcW w:type="dxa" w:w="576"/>
            <w:shd w:val="clear" w:color="auto" w:fill="FFF2CC"/>
            <w:vAlign w:val="top"/>
          </w:tcPr>
          <w:p>
            <w:r>
              <w:rPr>
                <w:sz w:val="16"/>
              </w:rPr>
              <w:t>27</w:t>
            </w:r>
          </w:p>
        </w:tc>
        <w:tc>
          <w:tcPr>
            <w:tcW w:type="dxa" w:w="2880"/>
            <w:shd w:val="clear" w:color="auto" w:fill="FFF2CC"/>
            <w:vAlign w:val="top"/>
          </w:tcPr>
          <w:p>
            <w:r>
              <w:rPr>
                <w:b/>
                <w:sz w:val="16"/>
              </w:rPr>
              <w:t xml:space="preserve">[REVISED] </w:t>
            </w:r>
            <w:r>
              <w:rPr>
                <w:sz w:val="16"/>
              </w:rPr>
              <w:t>Case 3 — Piping Corrosion Compliance (PIP-GOLD-047)</w:t>
            </w:r>
          </w:p>
        </w:tc>
        <w:tc>
          <w:tcPr>
            <w:tcW w:type="dxa" w:w="5760"/>
            <w:shd w:val="clear" w:color="auto" w:fill="FFF2CC"/>
            <w:vAlign w:val="top"/>
          </w:tcPr>
          <w:p>
            <w:r>
              <w:rPr>
                <w:sz w:val="16"/>
              </w:rPr>
              <w:t>(was: 3 The Jurisdiction Compliance Gap)</w:t>
              <w:br/>
              <w:br/>
            </w:r>
          </w:p>
        </w:tc>
        <w:tc>
          <w:tcPr>
            <w:tcW w:type="dxa" w:w="5760"/>
            <w:shd w:val="clear" w:color="auto" w:fill="FFF2CC"/>
            <w:vAlign w:val="top"/>
          </w:tcPr>
          <w:p>
            <w:r>
              <w:rPr>
                <w:sz w:val="16"/>
              </w:rPr>
              <w:t>For an SA-106 Gr.B carbon-steel line in sour-chloride service (7.804 MPa, 196 °C, 200 ppm Cl⁻), the engine reports a remaining life of 14.0 years with no red flags raised. The KOSHA RAG layer retrieves, in ranked order, B-M-18-2026, Article 256 of the Rules on Occupational Safety and Health Standards (산업안전보건기준에 관한 규칙 — Corrosion Prevention Provision), and C-C-75-2026 (Technical Regulation for Corrosion Risk Assessment of Chemical Equipment). Article 256 reads (verbatim, with the Korean original preserved): 제256조(부식 방지) 사업주는 부식성 액체에 의하여 부식될 우려가 있는 부분의 부식을 방지하기 위하여 보온재로 피복하는 등 부식을 방지하기 위한 조치를 하여야 한다. English working translation: Article 256 (Corrosion Prevention). The employer shall take measures to prevent corrosion — including, but not limited to, application of insulation/coating — at parts liable to corrosion by corrosive liquids. The text shown above matches the body indexed in the system’s SQLite FTS5 store (datasets/kosha_rag/kosha_local_rag.utf8.sqlite3); the indexed bodies are stored as correct UTF-8 (full-corpus encoding scan reported zero mojibake across 197,124 string fields, see outputs/kosha_encoding_diagnosis.md). The provision is mandatory under the Act. The linkage …[truncated]</w:t>
            </w:r>
          </w:p>
        </w:tc>
      </w:tr>
      <w:tr>
        <w:tc>
          <w:tcPr>
            <w:tcW w:type="dxa" w:w="576"/>
            <w:shd w:val="clear" w:color="auto" w:fill="FFF2CC"/>
            <w:vAlign w:val="top"/>
          </w:tcPr>
          <w:p>
            <w:r>
              <w:rPr>
                <w:sz w:val="16"/>
              </w:rPr>
              <w:t>28</w:t>
            </w:r>
          </w:p>
        </w:tc>
        <w:tc>
          <w:tcPr>
            <w:tcW w:type="dxa" w:w="2880"/>
            <w:shd w:val="clear" w:color="auto" w:fill="FFF2CC"/>
            <w:vAlign w:val="top"/>
          </w:tcPr>
          <w:p>
            <w:r>
              <w:rPr>
                <w:b/>
                <w:sz w:val="16"/>
              </w:rPr>
              <w:t xml:space="preserve">[REVISED] </w:t>
            </w:r>
            <w:r>
              <w:rPr>
                <w:sz w:val="16"/>
              </w:rPr>
              <w:t>6.5 Curated Retrieval Benchmark (RQ2)</w:t>
            </w:r>
          </w:p>
        </w:tc>
        <w:tc>
          <w:tcPr>
            <w:tcW w:type="dxa" w:w="5760"/>
            <w:shd w:val="clear" w:color="auto" w:fill="FFF2CC"/>
            <w:vAlign w:val="top"/>
          </w:tcPr>
          <w:p>
            <w:r>
              <w:rPr>
                <w:sz w:val="16"/>
              </w:rPr>
              <w:t>(was: 5.2 Retrieval pipeline)</w:t>
              <w:br/>
              <w:br/>
              <w:t>Domain calculation outputs are converted to Korean natural-language queries. A concept-aware query builder joins concepts with AND and expands synonyms within each concept using OR. When strict AND matching yields no results, a loose OR fallback is used. This design addresses the bilingual and abbreviation-heavy nature of Korean engineering terminology (e.g., “잔여수명” / “remaining life” / “RL”).</w:t>
            </w:r>
          </w:p>
        </w:tc>
        <w:tc>
          <w:tcPr>
            <w:tcW w:type="dxa" w:w="5760"/>
            <w:shd w:val="clear" w:color="auto" w:fill="FFF2CC"/>
            <w:vAlign w:val="top"/>
          </w:tcPr>
          <w:p>
            <w:r>
              <w:rPr>
                <w:sz w:val="16"/>
              </w:rPr>
              <w:t>To quantify the retrieval effect of synonym-aware regulatory search, we constructed a 50-query curated benchmark organised as five regulatory target groups × ten queries per group, totalling 50 queries (datasets/kosha_rag/rag_eval_queries.json).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 retrieval-quality variance across query formulations rather than breadth of regulatory coverage. The curation policy and full query set are released in the dataset folder for independent inspection. Sample size justification. 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…[truncated]</w:t>
            </w:r>
          </w:p>
        </w:tc>
      </w:tr>
      <w:tr>
        <w:tc>
          <w:tcPr>
            <w:tcW w:type="dxa" w:w="576"/>
            <w:shd w:val="clear" w:color="auto" w:fill="FFF2CC"/>
            <w:vAlign w:val="top"/>
          </w:tcPr>
          <w:p>
            <w:r>
              <w:rPr>
                <w:sz w:val="16"/>
              </w:rPr>
              <w:t>29</w:t>
            </w:r>
          </w:p>
        </w:tc>
        <w:tc>
          <w:tcPr>
            <w:tcW w:type="dxa" w:w="2880"/>
            <w:shd w:val="clear" w:color="auto" w:fill="FFF2CC"/>
            <w:vAlign w:val="top"/>
          </w:tcPr>
          <w:p>
            <w:r>
              <w:rPr>
                <w:b/>
                <w:sz w:val="16"/>
              </w:rPr>
              <w:t xml:space="preserve">[REVISED] </w:t>
            </w:r>
            <w:r>
              <w:rPr>
                <w:sz w:val="16"/>
              </w:rPr>
              <w:t>6.6 Industry-Baseline Comparison and Internal Ablation</w:t>
            </w:r>
          </w:p>
        </w:tc>
        <w:tc>
          <w:tcPr>
            <w:tcW w:type="dxa" w:w="5760"/>
            <w:shd w:val="clear" w:color="auto" w:fill="FFF2CC"/>
            <w:vAlign w:val="top"/>
          </w:tcPr>
          <w:p>
            <w:r>
              <w:rPr>
                <w:sz w:val="16"/>
              </w:rPr>
              <w:t>(was: 1.2 Scope and contributions)</w:t>
              <w:br/>
              <w:br/>
              <w:t>We present an expert verification system for seven process plant engineering disciplines. Importantly, this study does not aim to reproduce full project-specific detailed design outcomes from confidential plant packages. Instead, it proposes a verification layer that detects jurisdiction-specific regulatory omissions and cross-discipline hazards that may be overlooked in conventional code-centric engineering workflows. Detailed engineering data in Korean EPC projects are typically confidential and not publicly shareable; accordingly, the evaluation uses curated synthetic golden cases, retrieval benchmarks, and scenario-based hazard screening under controlled conditions. The four contributions are: Jurisdiction compliance gap concept. We define, operationalise, and illustrate this concept with three case studies spanning pressure vessels and piping in Korean jurisdiction. Regulatory RAG for KOSHA integration. To our knowledge, we construct the first regulatory corpus from KOSHA public APIs (16,186 indexed rows from 1,327 guides and 3,102 statutory provisions) and show its feasibility for detecting jurisdiction-specific obligations invisible to …[truncated]</w:t>
            </w:r>
          </w:p>
        </w:tc>
        <w:tc>
          <w:tcPr>
            <w:tcW w:type="dxa" w:w="5760"/>
            <w:shd w:val="clear" w:color="auto" w:fill="FFF2CC"/>
            <w:vAlign w:val="top"/>
          </w:tcPr>
          <w:p>
            <w:r>
              <w:rPr>
                <w:sz w:val="16"/>
              </w:rPr>
              <w:t>An effective comparison against existing methods is essential. We address this in two layers, each consistent with the structural novelty of the proposed problem. Layer A — Industry baseline (“ASME/API pass = compliance complete”). The dominant current-practice baseline in Korean EPC piping/vessel review is to declare regulatory compliance complete once the relevant ASME/API calculation passes. Under that baseline the three case studies of §6.4 yield the result in Table 7: 0/3 of the Korean-jurisdiction obligations are detected. The proposed system detects 3/3. The first-relevant retrieval rank is 1 in all three cases. Table 7. Industry-Baseline (“ASME/API pass = compliance complete”) vs Regulatory RAG Layer B — Internal four-layer ablation. Beyond the validator-on/off ablation of §6.3, we report the incremental detection contribution of each system layer in Table 7b. Table 7b. Internal Ablation by System Layer (3 case set + 60 ablation set) All four rows of Table 7b are computed by scripts/run_layer_ablation.py (outputs/layer_ablation_report.md). The decomposition shows that the cross-discipline validator and the KOSHA RAG layer carry orthogonal signal: each catches a class of …[truncated]</w:t>
            </w:r>
          </w:p>
        </w:tc>
      </w:tr>
      <w:tr>
        <w:tc>
          <w:tcPr>
            <w:tcW w:type="dxa" w:w="576"/>
            <w:shd w:val="clear" w:color="auto" w:fill="E2F0D9"/>
            <w:vAlign w:val="top"/>
          </w:tcPr>
          <w:p>
            <w:r>
              <w:rPr>
                <w:sz w:val="16"/>
              </w:rPr>
              <w:t>30</w:t>
            </w:r>
          </w:p>
        </w:tc>
        <w:tc>
          <w:tcPr>
            <w:tcW w:type="dxa" w:w="2880"/>
            <w:shd w:val="clear" w:color="auto" w:fill="E2F0D9"/>
            <w:vAlign w:val="top"/>
          </w:tcPr>
          <w:p>
            <w:r>
              <w:rPr>
                <w:b/>
                <w:sz w:val="16"/>
              </w:rPr>
              <w:t xml:space="preserve">[NEW] </w:t>
            </w:r>
            <w:r>
              <w:rPr>
                <w:sz w:val="16"/>
              </w:rPr>
              <w:t>6.6.3 Real-plant pipeline-execution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Headline. Running the unmodified pipeline against an anonymised real-plant data sheet (VES-REAL-001) produces a deterministic ASME UG-27 governing thickness of 7.237 mm. A narrower Korean-term retrieval probe additionally surfaces Article 266 (a mandatory KOSHA provision concerning flare-path block-valve prohibition) at rank 5. We treat this as real-plant pipeline-execution evidence, not external accuracy validation.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 7.237 mm at the +190 °C side, with the Layer-4 reverse-pressure check closing to within machine epsilon. KOSHA RAG retrieval, executed through the same code path used in §6.5, returns on the spec-faithful Variant A query 2 mandatory law-article hits + 8 …[truncated]</w:t>
            </w:r>
          </w:p>
        </w:tc>
      </w:tr>
      <w:tr>
        <w:tc>
          <w:tcPr>
            <w:tcW w:type="dxa" w:w="576"/>
            <w:shd w:val="clear" w:color="auto" w:fill="E2F0D9"/>
            <w:vAlign w:val="top"/>
          </w:tcPr>
          <w:p>
            <w:r>
              <w:rPr>
                <w:sz w:val="16"/>
              </w:rPr>
              <w:t>31</w:t>
            </w:r>
          </w:p>
        </w:tc>
        <w:tc>
          <w:tcPr>
            <w:tcW w:type="dxa" w:w="2880"/>
            <w:shd w:val="clear" w:color="auto" w:fill="E2F0D9"/>
            <w:vAlign w:val="top"/>
          </w:tcPr>
          <w:p>
            <w:r>
              <w:rPr>
                <w:b/>
                <w:sz w:val="16"/>
              </w:rPr>
              <w:t xml:space="preserve">[NEW] </w:t>
            </w:r>
            <w:r>
              <w:rPr>
                <w:sz w:val="16"/>
              </w:rPr>
              <w:t>6.7 Citation Traceability and Negative-Case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Citation-traceability precision. Every regulatory grounding produced by the system carries a citation to a (reference_code, chunk_id) tuple that resolves to a row in the SQLite FTS5 index (indexed/kosha_rag.db). The grounding generator (src/rag/local_kosha_rag.py) refuses to emit advisories whose citation index does not match a passage actually returned by retrieval, so the citation-traceability precision is 100% by construction. We make this an explicit metric to address the well-known LLM-hallucination concern on regulatory-grounded outputs. Negative case (no false-positive flag). To address the false-positive concern, we report a representative negative case from the same dataset: PIP-GOLD-003 — a stainless-steel SA-312 TP316 ERW line under general (non-corrosive) service conditions (design pressure 2.013 MPa, design temperature 119.5 °C; no chloride or sour-service flag is set in the case spec; verified against datasets/golden_standards/piping_golden_dataset_v1.json:PIP-GOLD-003). The calculation engine returns no red flags (expected_red_flags: []). Running the actual RAG pipeline against this case using a neutral piping-integrity query (scripts/run_negative_case_rag.py, …[truncated]</w:t>
            </w:r>
          </w:p>
        </w:tc>
      </w:tr>
      <w:tr>
        <w:tc>
          <w:tcPr>
            <w:tcW w:type="dxa" w:w="576"/>
            <w:shd w:val="clear" w:color="auto" w:fill="FFF2CC"/>
            <w:vAlign w:val="top"/>
          </w:tcPr>
          <w:p>
            <w:r>
              <w:rPr>
                <w:sz w:val="16"/>
              </w:rPr>
              <w:t>32</w:t>
            </w:r>
          </w:p>
        </w:tc>
        <w:tc>
          <w:tcPr>
            <w:tcW w:type="dxa" w:w="2880"/>
            <w:shd w:val="clear" w:color="auto" w:fill="FFF2CC"/>
            <w:vAlign w:val="top"/>
          </w:tcPr>
          <w:p>
            <w:r>
              <w:rPr>
                <w:b/>
                <w:sz w:val="16"/>
              </w:rPr>
              <w:t xml:space="preserve">[REVISED] </w:t>
            </w:r>
            <w:r>
              <w:rPr>
                <w:sz w:val="16"/>
              </w:rPr>
              <w:t>7 Discussion</w:t>
            </w:r>
          </w:p>
        </w:tc>
        <w:tc>
          <w:tcPr>
            <w:tcW w:type="dxa" w:w="5760"/>
            <w:shd w:val="clear" w:color="auto" w:fill="FFF2CC"/>
            <w:vAlign w:val="top"/>
          </w:tcPr>
          <w:p>
            <w:r>
              <w:rPr>
                <w:sz w:val="16"/>
              </w:rPr>
              <w:t>It is important to clarify the scope of this contribution. This system is not a replacement for detailed engineering design by qualified professionals, nor does it claim to reproduce project-specific plant design outcomes. Rather, it is a verification layer that screens for two classes of risk that conventional code-centric workflows structurally miss: jurisdiction-specific regulatory omissions and cross-discipline coupling hazards. In process safety terms, the value proposition is not “more accurate calculation” but “fewer overlooked compliance obligations and inter-discipline blind spots.”</w:t>
            </w:r>
          </w:p>
        </w:tc>
        <w:tc>
          <w:tcPr>
            <w:tcW w:type="dxa" w:w="5760"/>
            <w:shd w:val="clear" w:color="auto" w:fill="FFF2CC"/>
            <w:vAlign w:val="top"/>
          </w:tcPr>
          <w:p>
            <w:r>
              <w:rPr>
                <w:sz w:val="16"/>
              </w:rPr>
              <w:t>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tc>
      </w:tr>
      <w:tr>
        <w:tc>
          <w:tcPr>
            <w:tcW w:type="dxa" w:w="576"/>
            <w:shd w:val="clear" w:color="auto" w:fill="FFF2CC"/>
            <w:vAlign w:val="top"/>
          </w:tcPr>
          <w:p>
            <w:r>
              <w:rPr>
                <w:sz w:val="16"/>
              </w:rPr>
              <w:t>33</w:t>
            </w:r>
          </w:p>
        </w:tc>
        <w:tc>
          <w:tcPr>
            <w:tcW w:type="dxa" w:w="2880"/>
            <w:shd w:val="clear" w:color="auto" w:fill="FFF2CC"/>
            <w:vAlign w:val="top"/>
          </w:tcPr>
          <w:p>
            <w:r>
              <w:rPr>
                <w:b/>
                <w:sz w:val="16"/>
              </w:rPr>
              <w:t xml:space="preserve">[REVISED] </w:t>
            </w:r>
            <w:r>
              <w:rPr>
                <w:sz w:val="16"/>
              </w:rPr>
              <w:t>7.1 The jurisdiction compliance gap</w:t>
            </w:r>
          </w:p>
        </w:tc>
        <w:tc>
          <w:tcPr>
            <w:tcW w:type="dxa" w:w="5760"/>
            <w:shd w:val="clear" w:color="auto" w:fill="FFF2CC"/>
            <w:vAlign w:val="top"/>
          </w:tcPr>
          <w:p>
            <w:r>
              <w:rPr>
                <w:sz w:val="16"/>
              </w:rPr>
              <w:t>(was: 7.5 Jurisdiction compliance gap case studies (RQ2))</w:t>
              <w:br/>
              <w:br/>
              <w:t>Three cases were selected to illustrate distinct gap types that map to documented accident pathways in Korean process plants: (1) a long-remaining-life vessel where KOSHA documentation obligations are triggered but invisible to ASME/API calculations — relevant because undocumented equipment conditions have contributed to delayed inspection failures; (2) a vessel where KOSHA-mandated RBI review triggers apply but API 510 scheduling does not capture them — relevant because missed RBI triggers are a known contributor to inspection programme gaps; and (3) a corrosive-service piping system where Article 256 corrosion-prevention controls apply despite full ASME B31.3/API 570 compliance — relevant because uncontrolled corrosion in sour-chloride service is a well-documented cause of piping leakage and rupture in Korean petrochemical plants. Case 1 — VES-GOLD-001 (Vessel Remaining Life). SA-516-70 vessel, 1.858 MPa, 217.3 °C, current thickness 44.82 mm. Calculation: required thickness 14.99 mm (ASME VIII UG-27), remaining life 136.3 years, inspection interval 10 years (API 510). No red flags. KOSHA RAG retrieves: M-69-2012 …[truncated]</w:t>
            </w:r>
          </w:p>
        </w:tc>
        <w:tc>
          <w:tcPr>
            <w:tcW w:type="dxa" w:w="5760"/>
            <w:shd w:val="clear" w:color="auto" w:fill="FFF2CC"/>
            <w:vAlign w:val="top"/>
          </w:tcPr>
          <w:p>
            <w:r>
              <w:rPr>
                <w:sz w:val="16"/>
              </w:rPr>
              <w:t>The most significant finding of this study is the existence of the jurisdiction compliance gap, defined as follows: Jurisdiction compliance gap. 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 Even where international code calculations produce a clean pass, the KOSHA RAG layer can identify additional Korean-jurisdiction compliance requirements. This occurs because ASME, API, and analogous international standards define technical calculation requirements, whereas KOSHA guidelines and Korean safety regulations — including Article 256 of the Rules on Occupational Safety and Health Standards — impose procedural, documentation, and trigger-driven obligations conditioned on calculation outputs but not encoded within the international standards themselves. The gap is structurally present whether the calculation arises from a design-phase check or an in-service …[truncated]</w:t>
            </w:r>
          </w:p>
        </w:tc>
      </w:tr>
      <w:tr>
        <w:tc>
          <w:tcPr>
            <w:tcW w:type="dxa" w:w="576"/>
            <w:shd w:val="clear" w:color="auto" w:fill="E2F0D9"/>
            <w:vAlign w:val="top"/>
          </w:tcPr>
          <w:p>
            <w:r>
              <w:rPr>
                <w:sz w:val="16"/>
              </w:rPr>
              <w:t>34</w:t>
            </w:r>
          </w:p>
        </w:tc>
        <w:tc>
          <w:tcPr>
            <w:tcW w:type="dxa" w:w="2880"/>
            <w:shd w:val="clear" w:color="auto" w:fill="E2F0D9"/>
            <w:vAlign w:val="top"/>
          </w:tcPr>
          <w:p>
            <w:r>
              <w:rPr>
                <w:b/>
                <w:sz w:val="16"/>
              </w:rPr>
              <w:t xml:space="preserve">[NEW] </w:t>
            </w:r>
            <w:r>
              <w:rPr>
                <w:sz w:val="16"/>
              </w:rPr>
              <w:t>7.2 Compliance co-pilot, not replacement: HAZOP / RBI / Digital Twin / Regulatory RAG</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 persistent risk in publishing AI-assisted safety tooling is the implicit suggestion that the tool replaces an existing human or workshop-based method. We make the opposite claim explicitly. The framework is positioned as a compliance co-pilot to existing methods; Table 8 contrasts it with HAZOP, RBI, and Digital Twin. Table 8. Method Comparison — HAZOP / RBI / Digital Twin / Regulatory RAG The four operational touchpoints are: Before HAZOP — identify mandatory regulatory nodes that the workshop must address. During design review — detect missing legal requirements before the design freezes. During RBI — check whether local inspection triggers are satisfied beyond the API calendar. During digital-twin operation — flag live compliance gaps as plant state evolves. In process-safety terms, the system functions as a Digital Compliance Auditor, an Automated PSM Checker (PSM = SEVESO / OSHA / KOSHA frameworks), and a Real-time Regulatory Advisor. Two roles bracket the temporal axis: Table 9. Auditor vs Advisor — temporal role The proposed system supports both roles depending on where in the workflow it is invoked.</w:t>
            </w:r>
          </w:p>
        </w:tc>
      </w:tr>
      <w:tr>
        <w:tc>
          <w:tcPr>
            <w:tcW w:type="dxa" w:w="576"/>
            <w:shd w:val="clear" w:color="auto" w:fill="E2F0D9"/>
            <w:vAlign w:val="top"/>
          </w:tcPr>
          <w:p>
            <w:r>
              <w:rPr>
                <w:sz w:val="16"/>
              </w:rPr>
              <w:t>35</w:t>
            </w:r>
          </w:p>
        </w:tc>
        <w:tc>
          <w:tcPr>
            <w:tcW w:type="dxa" w:w="2880"/>
            <w:shd w:val="clear" w:color="auto" w:fill="E2F0D9"/>
            <w:vAlign w:val="top"/>
          </w:tcPr>
          <w:p>
            <w:r>
              <w:rPr>
                <w:b/>
                <w:sz w:val="16"/>
              </w:rPr>
              <w:t xml:space="preserve">[NEW] </w:t>
            </w:r>
            <w:r>
              <w:rPr>
                <w:sz w:val="16"/>
              </w:rPr>
              <w:t>7.3 HAZOP scope: knowledge-based / AI-assisted, not a replacement for dynamic HAZOP</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system supports knowledge-based or AI-assisted HAZOP: it surfaces structured regulatory data and rule-based prompts that a HAZOP facilitator can incorporate into the workshop. It is not 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tc>
      </w:tr>
      <w:tr>
        <w:tc>
          <w:tcPr>
            <w:tcW w:type="dxa" w:w="576"/>
            <w:shd w:val="clear" w:color="auto" w:fill="E2F0D9"/>
            <w:vAlign w:val="top"/>
          </w:tcPr>
          <w:p>
            <w:r>
              <w:rPr>
                <w:sz w:val="16"/>
              </w:rPr>
              <w:t>36</w:t>
            </w:r>
          </w:p>
        </w:tc>
        <w:tc>
          <w:tcPr>
            <w:tcW w:type="dxa" w:w="2880"/>
            <w:shd w:val="clear" w:color="auto" w:fill="E2F0D9"/>
            <w:vAlign w:val="top"/>
          </w:tcPr>
          <w:p>
            <w:r>
              <w:rPr>
                <w:b/>
                <w:sz w:val="16"/>
              </w:rPr>
              <w:t xml:space="preserve">[NEW] </w:t>
            </w:r>
            <w:r>
              <w:rPr>
                <w:sz w:val="16"/>
              </w:rPr>
              <w:t>7.4 Fitness-for-Service vs EPC standards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API 579-1 fitness-for-service (FFS) [17] interacts with EPC design standards (ASME, API design codes) along two independent axes: it supplements design-stage codes with a quantitative remaining-life and acceptance methodology for in-service degradation, and it interfaces with regulatory obligations because some KOSHA inspection-trigger and documentation requirements are themselves conditioned on FFS-derived quantities (remaining life, corrosion rate). The present system treats FFS as both a design-validation input (when applied at the engineering stage to a degraded scenario) and 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…[truncated]</w:t>
            </w:r>
          </w:p>
        </w:tc>
      </w:tr>
      <w:tr>
        <w:tc>
          <w:tcPr>
            <w:tcW w:type="dxa" w:w="576"/>
            <w:shd w:val="clear" w:color="auto" w:fill="FFF2CC"/>
            <w:vAlign w:val="top"/>
          </w:tcPr>
          <w:p>
            <w:r>
              <w:rPr>
                <w:sz w:val="16"/>
              </w:rPr>
              <w:t>37</w:t>
            </w:r>
          </w:p>
        </w:tc>
        <w:tc>
          <w:tcPr>
            <w:tcW w:type="dxa" w:w="2880"/>
            <w:shd w:val="clear" w:color="auto" w:fill="FFF2CC"/>
            <w:vAlign w:val="top"/>
          </w:tcPr>
          <w:p>
            <w:r>
              <w:rPr>
                <w:b/>
                <w:sz w:val="16"/>
              </w:rPr>
              <w:t xml:space="preserve">[REVISED] </w:t>
            </w:r>
            <w:r>
              <w:rPr>
                <w:sz w:val="16"/>
              </w:rPr>
              <w:t>7.5 Process-safety contribution</w:t>
            </w:r>
          </w:p>
        </w:tc>
        <w:tc>
          <w:tcPr>
            <w:tcW w:type="dxa" w:w="5760"/>
            <w:shd w:val="clear" w:color="auto" w:fill="FFF2CC"/>
            <w:vAlign w:val="top"/>
          </w:tcPr>
          <w:p>
            <w:r>
              <w:rPr>
                <w:sz w:val="16"/>
              </w:rPr>
              <w:t>(was: 8.3 Cross-discipline coupling as safety contribution)</w:t>
              <w:br/>
              <w:br/>
              <w:t>The 25 additional blocked scenarios represent coupling hazards that no single-domain tool would flag. In practice, these correspond to failure modes such as: piping nozzle overload degrading rotating equipment bearings; foundation settlement causing rotating equipment misalignment; electrical harmonics affecting instrumentation. These are documented accident pathways in plant engineering.</w:t>
            </w:r>
          </w:p>
        </w:tc>
        <w:tc>
          <w:tcPr>
            <w:tcW w:type="dxa" w:w="5760"/>
            <w:shd w:val="clear" w:color="auto" w:fill="FFF2CC"/>
            <w:vAlign w:val="top"/>
          </w:tcPr>
          <w:p>
            <w:r>
              <w:rPr>
                <w:sz w:val="16"/>
              </w:rPr>
              <w:t>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 “compliant” under current EPC review practice. An anonymised real-plant cryogenic flare-drum data sheet is run end-to-end through the pipeline in Appendix A (VES-REAL-001), confirming that the architecture handles …[truncated]</w:t>
            </w:r>
          </w:p>
        </w:tc>
      </w:tr>
      <w:tr>
        <w:tc>
          <w:tcPr>
            <w:tcW w:type="dxa" w:w="576"/>
            <w:shd w:val="clear" w:color="auto" w:fill="FFF2CC"/>
            <w:vAlign w:val="top"/>
          </w:tcPr>
          <w:p>
            <w:r>
              <w:rPr>
                <w:sz w:val="16"/>
              </w:rPr>
              <w:t>38</w:t>
            </w:r>
          </w:p>
        </w:tc>
        <w:tc>
          <w:tcPr>
            <w:tcW w:type="dxa" w:w="2880"/>
            <w:shd w:val="clear" w:color="auto" w:fill="FFF2CC"/>
            <w:vAlign w:val="top"/>
          </w:tcPr>
          <w:p>
            <w:r>
              <w:rPr>
                <w:b/>
                <w:sz w:val="16"/>
              </w:rPr>
              <w:t xml:space="preserve">[REVISED] </w:t>
            </w:r>
            <w:r>
              <w:rPr>
                <w:sz w:val="16"/>
              </w:rPr>
              <w:t>7.6 Reproducibility and explainability</w:t>
            </w:r>
          </w:p>
        </w:tc>
        <w:tc>
          <w:tcPr>
            <w:tcW w:type="dxa" w:w="5760"/>
            <w:shd w:val="clear" w:color="auto" w:fill="FFF2CC"/>
            <w:vAlign w:val="top"/>
          </w:tcPr>
          <w:p>
            <w:r>
              <w:rPr>
                <w:sz w:val="16"/>
              </w:rPr>
              <w:t>(was: Code and Data Availability)</w:t>
              <w:br/>
              <w:br/>
              <w:t>Source code, golden datasets, benchmark scripts, and the KOSHA regulatory corpus index will be made publicly available at https://github.com/yuyongkim/did-you-check-kosha under the AGPL-3.0 license upon acceptance. A code-to-paper mapping document is included in the repository (docs/publication/CODE_MAP.md).</w:t>
            </w:r>
          </w:p>
        </w:tc>
        <w:tc>
          <w:tcPr>
            <w:tcW w:type="dxa" w:w="5760"/>
            <w:shd w:val="clear" w:color="auto" w:fill="FFF2CC"/>
            <w:vAlign w:val="top"/>
          </w:tcPr>
          <w:p>
            <w:r>
              <w:rPr>
                <w:sz w:val="16"/>
              </w:rPr>
              <w:t>The architecture prioritises reproducibility and explainability. Every major calculation step carries an explicit standard citation; every regulatory grounding carries a (reference_code, chunk_id) traceable to the SQLite index; the golden dataset, the 60-scenario ablation set, the 50-query benchmark, and the orchestration scripts are publicly released, enabling independent replication on commodity hardware with CPU resources and an Ollama installation.</w:t>
            </w:r>
          </w:p>
        </w:tc>
      </w:tr>
      <w:tr>
        <w:tc>
          <w:tcPr>
            <w:tcW w:type="dxa" w:w="576"/>
            <w:shd w:val="clear" w:color="auto" w:fill="FFF2CC"/>
            <w:vAlign w:val="top"/>
          </w:tcPr>
          <w:p>
            <w:r>
              <w:rPr>
                <w:sz w:val="16"/>
              </w:rPr>
              <w:t>39</w:t>
            </w:r>
          </w:p>
        </w:tc>
        <w:tc>
          <w:tcPr>
            <w:tcW w:type="dxa" w:w="2880"/>
            <w:shd w:val="clear" w:color="auto" w:fill="FFF2CC"/>
            <w:vAlign w:val="top"/>
          </w:tcPr>
          <w:p>
            <w:r>
              <w:rPr>
                <w:b/>
                <w:sz w:val="16"/>
              </w:rPr>
              <w:t xml:space="preserve">[REVISED] </w:t>
            </w:r>
            <w:r>
              <w:rPr>
                <w:sz w:val="16"/>
              </w:rPr>
              <w:t>8 Limitations and Future Work</w:t>
            </w:r>
          </w:p>
        </w:tc>
        <w:tc>
          <w:tcPr>
            <w:tcW w:type="dxa" w:w="5760"/>
            <w:shd w:val="clear" w:color="auto" w:fill="FFF2CC"/>
            <w:vAlign w:val="top"/>
          </w:tcPr>
          <w:p>
            <w:r>
              <w:rPr>
                <w:sz w:val="16"/>
              </w:rPr>
              <w:t>Synthetic evaluation only. Validation on full industrial plant design packages was not feasible because detailed engineering data in EPC projects are typically confidential and not publicly shareable. Accordingly, the evaluation uses curated synthetic golden cases derived from reference examples in the applicable standards. The perfect accuracy on these cases is expected for deterministic rule-based engines and should be interpreted as implementation-correctness evidence under curated conditions, not as proof of universal field performance across real EPC projects. Screening-level outputs. Domain outputs support engineering review but cannot substitute for detailed design calculations or fitness-for-service assessments by qualified engineers. Curated retrieval benchmark. The 50-query benchmark measures retrieval robustness across query formulations, not breadth of regulatory coverage. BM25 may miss semantically similar Korean documents despite synonym expansion. Ten coupling pairs. Systematic expansion to additional domain pairs is needed. The current set covers well-documented inter-discipline failure mechanisms but is not exhaustive. Internal baselines only. Comparison against …[truncated]</w:t>
            </w:r>
          </w:p>
        </w:tc>
        <w:tc>
          <w:tcPr>
            <w:tcW w:type="dxa" w:w="5760"/>
            <w:shd w:val="clear" w:color="auto" w:fill="FFF2CC"/>
            <w:vAlign w:val="top"/>
          </w:tcPr>
          <w:p>
            <w:r>
              <w:rPr>
                <w:sz w:val="16"/>
              </w:rPr>
              <w:t>This study has the following limitations. Synthetic dataset. The golden dataset is entirely synthetic; no external validation against real plant operating or design-phase data has been performed. The 220-case accuracy reported in §6.1 constitutes standards-faithful implementation verification, not predictive validation against operating-record outcomes. Screening-level domain outputs. Some domain outputs represent screening-level assessments and cannot substitute for detailed engineering design review. Curated retrieval benchmark. 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 Coupling pair coverage. The cross-discipline coupling validation is limited to ten predefined domain pairs. Cross-discipline evidence is currently strongest in piping-vessel coupling (22 of 26 ablation detections) and should not yet be …[truncated]</w:t>
            </w:r>
          </w:p>
        </w:tc>
      </w:tr>
      <w:tr>
        <w:tc>
          <w:tcPr>
            <w:tcW w:type="dxa" w:w="576"/>
            <w:shd w:val="clear" w:color="auto" w:fill="FFF2CC"/>
            <w:vAlign w:val="top"/>
          </w:tcPr>
          <w:p>
            <w:r>
              <w:rPr>
                <w:sz w:val="16"/>
              </w:rPr>
              <w:t>40</w:t>
            </w:r>
          </w:p>
        </w:tc>
        <w:tc>
          <w:tcPr>
            <w:tcW w:type="dxa" w:w="2880"/>
            <w:shd w:val="clear" w:color="auto" w:fill="FFF2CC"/>
            <w:vAlign w:val="top"/>
          </w:tcPr>
          <w:p>
            <w:r>
              <w:rPr>
                <w:b/>
                <w:sz w:val="16"/>
              </w:rPr>
              <w:t xml:space="preserve">[REVISED] </w:t>
            </w:r>
            <w:r>
              <w:rPr>
                <w:sz w:val="16"/>
              </w:rPr>
              <w:t>9 Conclusion</w:t>
            </w:r>
          </w:p>
        </w:tc>
        <w:tc>
          <w:tcPr>
            <w:tcW w:type="dxa" w:w="5760"/>
            <w:shd w:val="clear" w:color="auto" w:fill="FFF2CC"/>
            <w:vAlign w:val="top"/>
          </w:tcPr>
          <w:p>
            <w:r>
              <w:rPr>
                <w:sz w:val="16"/>
              </w:rPr>
              <w:t>This paper has introduced the concept of the jurisdiction compliance gap and presented a proof-of-feasibility expert verification system that detects it automatically. The system integrates seven domain calculation engines, a four-layer hybrid verification model with K-voting consensus, a cross-discipline coupling validator, and a KOSHA regulatory RAG layer. It is positioned as a verification layer for screening regulatory omissions and inter-discipline blind spots, not as a replacement for detailed engineering design. Key findings: - Cross-discipline coupling validation identified 25 additional hazard scenarios in a 60-scenario ablation that single-domain calculations structurally miss, with zero false positives on standard-aligned cases. - Concept-aware regulatory retrieval improved Recall@1 from 0.44 to 0.74 and MRR@10 from 0.5744 to 0.7933 over plain full-text search. - Three case studies illustrate that ASME/API-compliant calculations can leave Korean-jurisdiction obligations unaddressed, including Article 256 corrosion-prevention requirements — a finding with direct implications for PSM-based loss prevention. We hypothesise that the jurisdiction compliance gap is a …[truncated]</w:t>
            </w:r>
          </w:p>
        </w:tc>
        <w:tc>
          <w:tcPr>
            <w:tcW w:type="dxa" w:w="5760"/>
            <w:shd w:val="clear" w:color="auto" w:fill="FFF2CC"/>
            <w:vAlign w:val="top"/>
          </w:tcPr>
          <w:p>
            <w:r>
              <w:rPr>
                <w:sz w:val="16"/>
              </w:rPr>
              <w:t>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…[truncated]</w:t>
            </w:r>
          </w:p>
        </w:tc>
      </w:tr>
      <w:tr>
        <w:tc>
          <w:tcPr>
            <w:tcW w:type="dxa" w:w="576"/>
            <w:shd w:val="clear" w:color="auto" w:fill="FFF2CC"/>
            <w:vAlign w:val="top"/>
          </w:tcPr>
          <w:p>
            <w:r>
              <w:rPr>
                <w:sz w:val="16"/>
              </w:rPr>
              <w:t>41</w:t>
            </w:r>
          </w:p>
        </w:tc>
        <w:tc>
          <w:tcPr>
            <w:tcW w:type="dxa" w:w="2880"/>
            <w:shd w:val="clear" w:color="auto" w:fill="FFF2CC"/>
            <w:vAlign w:val="top"/>
          </w:tcPr>
          <w:p>
            <w:r>
              <w:rPr>
                <w:b/>
                <w:sz w:val="16"/>
              </w:rPr>
              <w:t xml:space="preserve">[REVISED] </w:t>
            </w:r>
            <w:r>
              <w:rPr>
                <w:sz w:val="16"/>
              </w:rPr>
              <w:t>Acknowledgements</w:t>
            </w:r>
          </w:p>
        </w:tc>
        <w:tc>
          <w:tcPr>
            <w:tcW w:type="dxa" w:w="5760"/>
            <w:shd w:val="clear" w:color="auto" w:fill="FFF2CC"/>
            <w:vAlign w:val="top"/>
          </w:tcPr>
          <w:p>
            <w:r>
              <w:rPr>
                <w:sz w:val="16"/>
              </w:rPr>
              <w:t>The author acknowledges the Korea Occupational Safety and Health Agency (KOSHA) for public API access to technical guidelines and statutory provisions.</w:t>
            </w:r>
          </w:p>
        </w:tc>
        <w:tc>
          <w:tcPr>
            <w:tcW w:type="dxa" w:w="5760"/>
            <w:shd w:val="clear" w:color="auto" w:fill="FFF2CC"/>
            <w:vAlign w:val="top"/>
          </w:tcPr>
          <w:p>
            <w:r>
              <w:rPr>
                <w:sz w:val="16"/>
              </w:rPr>
              <w:t>The author thanks the Korea Occupational Safety and Health Agency for maintaining open access to the KOSHA Smart-search and KOSHA Guide APIs, without which the regulatory corpus could not have been assembled.</w:t>
            </w:r>
          </w:p>
        </w:tc>
      </w:tr>
      <w:tr>
        <w:tc>
          <w:tcPr>
            <w:tcW w:type="dxa" w:w="576"/>
            <w:shd w:val="clear" w:color="auto" w:fill="FFF2CC"/>
            <w:vAlign w:val="top"/>
          </w:tcPr>
          <w:p>
            <w:r>
              <w:rPr>
                <w:sz w:val="16"/>
              </w:rPr>
              <w:t>42</w:t>
            </w:r>
          </w:p>
        </w:tc>
        <w:tc>
          <w:tcPr>
            <w:tcW w:type="dxa" w:w="2880"/>
            <w:shd w:val="clear" w:color="auto" w:fill="FFF2CC"/>
            <w:vAlign w:val="top"/>
          </w:tcPr>
          <w:p>
            <w:r>
              <w:rPr>
                <w:b/>
                <w:sz w:val="16"/>
              </w:rPr>
              <w:t xml:space="preserve">[REVISED] </w:t>
            </w:r>
            <w:r>
              <w:rPr>
                <w:sz w:val="16"/>
              </w:rPr>
              <w:t>Code and Data Availability</w:t>
            </w:r>
          </w:p>
        </w:tc>
        <w:tc>
          <w:tcPr>
            <w:tcW w:type="dxa" w:w="5760"/>
            <w:shd w:val="clear" w:color="auto" w:fill="FFF2CC"/>
            <w:vAlign w:val="top"/>
          </w:tcPr>
          <w:p>
            <w:r>
              <w:rPr>
                <w:sz w:val="16"/>
              </w:rPr>
              <w:t>(was: 7.1 Golden dataset validation)</w:t>
              <w:br/>
              <w:br/>
              <w:t>220 synthetic golden cases across seven disciplines: Each golden case was constructed through the following procedure: Seed data selection. Reference calculation examples from the applicable standards served as starting points — e.g., ASME B31.3 Appendix H sample calculations for piping, ASME Section VIII UG-27 worked examples for vessels, API 579-1 Level 1/Level 2 assessment examples for fitness-for-service. Systematic parameter perturbation. Operating parameters were varied within realistic engineering ranges: temperature ±15–20%, pressure ±10–15%, corrosion rate 0.05–0.50 mm/yr, wall thickness from well-above-minimum to below-minimum. Material grades were varied across common carbon steel specifications (SA-106 Gr.B, SA-516-70, SA-240-316L). Case classification. Cases were labelled based on their relationship to regulatory thresholds: standard cases fall comfortably within code limits; boundary cases have at least one parameter within 5% of a pass/fail threshold; failure cases have at least one parameter that should trigger a red flag or blocking condition; composite cases combine multiple boundary/failure conditions. Runtime validation …[truncated]</w:t>
            </w:r>
          </w:p>
        </w:tc>
        <w:tc>
          <w:tcPr>
            <w:tcW w:type="dxa" w:w="5760"/>
            <w:shd w:val="clear" w:color="auto" w:fill="FFF2CC"/>
            <w:vAlign w:val="top"/>
          </w:tcPr>
          <w:p>
            <w:r>
              <w:rPr>
                <w:sz w:val="16"/>
              </w:rPr>
              <w:t>Source code, golden datasets, the 60-scenario ablation set, the 50-query curated retrieval benchmark, the SQLite FTS5 index manifest, and the orchestration scripts are publicly released under the AGPL-3.0 license at https://github.com/yuyongkim/did-you-check-kosha (revision tag: jlp-revised-v1). A detailed code-to-paper mapping is provided in docs/publication/CODE_MAP.md. The KOSHA regulatory snapshot was harvested on 2026-02-28 (UTC); the manifest is at datasets/kosha/manifest.json.</w:t>
            </w:r>
          </w:p>
        </w:tc>
      </w:tr>
      <w:tr>
        <w:tc>
          <w:tcPr>
            <w:tcW w:type="dxa" w:w="576"/>
            <w:shd w:val="clear" w:color="auto" w:fill="E2F0D9"/>
            <w:vAlign w:val="top"/>
          </w:tcPr>
          <w:p>
            <w:r>
              <w:rPr>
                <w:sz w:val="16"/>
              </w:rPr>
              <w:t>43</w:t>
            </w:r>
          </w:p>
        </w:tc>
        <w:tc>
          <w:tcPr>
            <w:tcW w:type="dxa" w:w="2880"/>
            <w:shd w:val="clear" w:color="auto" w:fill="E2F0D9"/>
            <w:vAlign w:val="top"/>
          </w:tcPr>
          <w:p>
            <w:r>
              <w:rPr>
                <w:b/>
                <w:sz w:val="16"/>
              </w:rPr>
              <w:t xml:space="preserve">[NEW] </w:t>
            </w:r>
            <w:r>
              <w:rPr>
                <w:sz w:val="16"/>
              </w:rPr>
              <w:t>Acronyms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r>
          </w:p>
        </w:tc>
      </w:tr>
      <w:tr>
        <w:tc>
          <w:tcPr>
            <w:tcW w:type="dxa" w:w="576"/>
            <w:shd w:val="clear" w:color="auto" w:fill="FFF2CC"/>
            <w:vAlign w:val="top"/>
          </w:tcPr>
          <w:p>
            <w:r>
              <w:rPr>
                <w:sz w:val="16"/>
              </w:rPr>
              <w:t>44</w:t>
            </w:r>
          </w:p>
        </w:tc>
        <w:tc>
          <w:tcPr>
            <w:tcW w:type="dxa" w:w="2880"/>
            <w:shd w:val="clear" w:color="auto" w:fill="FFF2CC"/>
            <w:vAlign w:val="top"/>
          </w:tcPr>
          <w:p>
            <w:r>
              <w:rPr>
                <w:b/>
                <w:sz w:val="16"/>
              </w:rPr>
              <w:t xml:space="preserve">[REVISED] </w:t>
            </w:r>
            <w:r>
              <w:rPr>
                <w:sz w:val="16"/>
              </w:rPr>
              <w:t>Key Definitions</w:t>
            </w:r>
          </w:p>
        </w:tc>
        <w:tc>
          <w:tcPr>
            <w:tcW w:type="dxa" w:w="5760"/>
            <w:shd w:val="clear" w:color="auto" w:fill="FFF2CC"/>
            <w:vAlign w:val="top"/>
          </w:tcPr>
          <w:p>
            <w:r>
              <w:rPr>
                <w:sz w:val="16"/>
              </w:rPr>
              <w:t>(was: 3.1 Definition)</w:t>
              <w:br/>
              <w:br/>
              <w:t>Jurisdiction compliance gap. The set of regulatory obligations imposed by national statute or agency guideline that are structurally absent from international engineering code calculations, such that a system may be technically code-compliant while remaining legally non-compliant under the applicable local jurisdiction.</w:t>
            </w:r>
          </w:p>
        </w:tc>
        <w:tc>
          <w:tcPr>
            <w:tcW w:type="dxa" w:w="5760"/>
            <w:shd w:val="clear" w:color="auto" w:fill="FFF2CC"/>
            <w:vAlign w:val="top"/>
          </w:tcPr>
          <w:p>
            <w:r>
              <w:rPr>
                <w:sz w:val="16"/>
              </w:rPr>
              <w:t>Jurisdiction compliance gap —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 K-voting — a Layer-2 verification mechanism in which K=3 calculation paths execute in parallel using deliberately varied numerical strategies, with maximum relative deviation among outputs constrained to ≤ 1%; failure invokes a tiebreaker and, on persistence, raises a no_consensus flag (§5.2, §5.4). Coupling validation —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 Implementation verification — confirmation that the system faithfully encodes the standards and rules it claims to implement, evaluated against cases derived from the same standards. Distinguished …[truncated]</w:t>
            </w:r>
          </w:p>
        </w:tc>
      </w:tr>
      <w:tr>
        <w:tc>
          <w:tcPr>
            <w:tcW w:type="dxa" w:w="576"/>
            <w:shd w:val="clear" w:color="auto" w:fill="E2F0D9"/>
            <w:vAlign w:val="top"/>
          </w:tcPr>
          <w:p>
            <w:r>
              <w:rPr>
                <w:sz w:val="16"/>
              </w:rPr>
              <w:t>45</w:t>
            </w:r>
          </w:p>
        </w:tc>
        <w:tc>
          <w:tcPr>
            <w:tcW w:type="dxa" w:w="2880"/>
            <w:shd w:val="clear" w:color="auto" w:fill="E2F0D9"/>
            <w:vAlign w:val="top"/>
          </w:tcPr>
          <w:p>
            <w:r>
              <w:rPr>
                <w:b/>
                <w:sz w:val="16"/>
              </w:rPr>
              <w:t xml:space="preserve">[NEW] </w:t>
            </w:r>
            <w:r>
              <w:rPr>
                <w:sz w:val="16"/>
              </w:rPr>
              <w:t>Appendix A. Real-Plant Data-Sheet Validation (VES-REAL-001)</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r>
          </w:p>
        </w:tc>
      </w:tr>
      <w:tr>
        <w:tc>
          <w:tcPr>
            <w:tcW w:type="dxa" w:w="576"/>
            <w:shd w:val="clear" w:color="auto" w:fill="FFF2CC"/>
            <w:vAlign w:val="top"/>
          </w:tcPr>
          <w:p>
            <w:r>
              <w:rPr>
                <w:sz w:val="16"/>
              </w:rPr>
              <w:t>46</w:t>
            </w:r>
          </w:p>
        </w:tc>
        <w:tc>
          <w:tcPr>
            <w:tcW w:type="dxa" w:w="2880"/>
            <w:shd w:val="clear" w:color="auto" w:fill="FFF2CC"/>
            <w:vAlign w:val="top"/>
          </w:tcPr>
          <w:p>
            <w:r>
              <w:rPr>
                <w:b/>
                <w:sz w:val="16"/>
              </w:rPr>
              <w:t xml:space="preserve">[REVISED] </w:t>
            </w:r>
            <w:r>
              <w:rPr>
                <w:sz w:val="16"/>
              </w:rPr>
              <w:t>A.1 Anonymisation policy and provenance</w:t>
            </w:r>
          </w:p>
        </w:tc>
        <w:tc>
          <w:tcPr>
            <w:tcW w:type="dxa" w:w="5760"/>
            <w:shd w:val="clear" w:color="auto" w:fill="FFF2CC"/>
            <w:vAlign w:val="top"/>
          </w:tcPr>
          <w:p>
            <w:r>
              <w:rPr>
                <w:sz w:val="16"/>
              </w:rPr>
              <w:t>(was: 6.3 Layer 3 — Physics and code compliance)</w:t>
              <w:br/>
              <w:br/>
              <w:t>Domain-specific red flags are enforced by rule-based checks. Examples: - Piping: measured thickness &lt; minimum required thickness → critical block. - Vessel: remaining life &lt; 0 → critical block. - Rotating: vibration exceeds API 670 alert level → warning. - Electrical: arc-flash energy &gt; 40 cal/cm² → PPE Category 4 escalation. All major calculation steps carry explicit standard citations (e.g., “ASME B31.3 §304.1.2”).</w:t>
            </w:r>
          </w:p>
        </w:tc>
        <w:tc>
          <w:tcPr>
            <w:tcW w:type="dxa" w:w="5760"/>
            <w:shd w:val="clear" w:color="auto" w:fill="FFF2CC"/>
            <w:vAlign w:val="top"/>
          </w:tcPr>
          <w:p>
            <w:r>
              <w:rPr>
                <w:sz w:val="16"/>
              </w:rPr>
              <w:t>This appendix exercises the proposed framework against a real engineering data sheet drawn from an operating petrochemical project. All client, contractor, licensor, personnel, location, project-name, document-ID, and equipment-tag identifiers were stripped before the data sheet was carried into this manuscript or any version-controlled artefact in the repository. The case is referred to throughout this paper, the supporting scripts, and the JSON/Markdown evidence files only as VES-REAL-001.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(docs/publication/submissions/Plant_data/, not part of the version-controlled paper bundle) and is not redistributed.</w:t>
            </w:r>
          </w:p>
        </w:tc>
      </w:tr>
      <w:tr>
        <w:tc>
          <w:tcPr>
            <w:tcW w:type="dxa" w:w="576"/>
            <w:shd w:val="clear" w:color="auto" w:fill="E2F0D9"/>
            <w:vAlign w:val="top"/>
          </w:tcPr>
          <w:p>
            <w:r>
              <w:rPr>
                <w:sz w:val="16"/>
              </w:rPr>
              <w:t>47</w:t>
            </w:r>
          </w:p>
        </w:tc>
        <w:tc>
          <w:tcPr>
            <w:tcW w:type="dxa" w:w="2880"/>
            <w:shd w:val="clear" w:color="auto" w:fill="E2F0D9"/>
            <w:vAlign w:val="top"/>
          </w:tcPr>
          <w:p>
            <w:r>
              <w:rPr>
                <w:b/>
                <w:sz w:val="16"/>
              </w:rPr>
              <w:t xml:space="preserve">[NEW] </w:t>
            </w:r>
            <w:r>
              <w:rPr>
                <w:sz w:val="16"/>
              </w:rPr>
              <w:t>A.2 Anonymised vessel specification</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vessel under test is a cryogenic flare knockout drum. Source of all numbers below: outputs/real_case_ves001_rag.json produced by scripts/run_real_case_ves001_rag.py. No number in this appendix has been edited by hand.</w:t>
            </w:r>
          </w:p>
        </w:tc>
      </w:tr>
      <w:tr>
        <w:tc>
          <w:tcPr>
            <w:tcW w:type="dxa" w:w="576"/>
            <w:shd w:val="clear" w:color="auto" w:fill="FFF2CC"/>
            <w:vAlign w:val="top"/>
          </w:tcPr>
          <w:p>
            <w:r>
              <w:rPr>
                <w:sz w:val="16"/>
              </w:rPr>
              <w:t>48</w:t>
            </w:r>
          </w:p>
        </w:tc>
        <w:tc>
          <w:tcPr>
            <w:tcW w:type="dxa" w:w="2880"/>
            <w:shd w:val="clear" w:color="auto" w:fill="FFF2CC"/>
            <w:vAlign w:val="top"/>
          </w:tcPr>
          <w:p>
            <w:r>
              <w:rPr>
                <w:b/>
                <w:sz w:val="16"/>
              </w:rPr>
              <w:t xml:space="preserve">[REVISED] </w:t>
            </w:r>
            <w:r>
              <w:rPr>
                <w:sz w:val="16"/>
              </w:rPr>
              <w:t>A.3 Calculation-engine output</w:t>
            </w:r>
          </w:p>
        </w:tc>
        <w:tc>
          <w:tcPr>
            <w:tcW w:type="dxa" w:w="5760"/>
            <w:shd w:val="clear" w:color="auto" w:fill="FFF2CC"/>
            <w:vAlign w:val="top"/>
          </w:tcPr>
          <w:p>
            <w:r>
              <w:rPr>
                <w:sz w:val="16"/>
              </w:rPr>
              <w:t>(was: Declaration of Competing Interest)</w:t>
              <w:br/>
              <w:br/>
              <w:t>The author declares no known competing financial interests or personal relationships that could have appeared to influence this work.</w:t>
            </w:r>
          </w:p>
        </w:tc>
        <w:tc>
          <w:tcPr>
            <w:tcW w:type="dxa" w:w="5760"/>
            <w:shd w:val="clear" w:color="auto" w:fill="FFF2CC"/>
            <w:vAlign w:val="top"/>
          </w:tcPr>
          <w:p>
            <w:r>
              <w:rPr>
                <w:sz w:val="16"/>
              </w:rPr>
              <w:t>The cryogenic side (-190 °C) is outside the input-validation range of the deployed Layer-1 schema (-50 °C ≤ design_temperature_c ≤ 650 °C). The full four-layer engine is therefore run on the +190 °C side; the cryogenic side is treated by directly invoking the underlying ASME Section VIII Div.1 UG-27 routine (src/vessel/calculations.py :: calculate_required_shell_thickness_mm)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 Direct UG-27 results (formula t = (P·R) / (S·E - 0.6·P) + CA): The hot side governs: the controlling required shell thickness is 7.237 mm. The Layer-4 reverse-pressure check returns the design pressure to within machine epsilon (deviation &lt; 0.001 %), as expected for an internally consistent UG-27 forward/reverse pair. Engine full-run hot-side dimensional metrics (E = 1.0; horizontal drum; 2:1 ellipsoidal …[truncated]</w:t>
            </w:r>
          </w:p>
        </w:tc>
      </w:tr>
      <w:tr>
        <w:tc>
          <w:tcPr>
            <w:tcW w:type="dxa" w:w="576"/>
            <w:shd w:val="clear" w:color="auto" w:fill="E2F0D9"/>
            <w:vAlign w:val="top"/>
          </w:tcPr>
          <w:p>
            <w:r>
              <w:rPr>
                <w:sz w:val="16"/>
              </w:rPr>
              <w:t>49</w:t>
            </w:r>
          </w:p>
        </w:tc>
        <w:tc>
          <w:tcPr>
            <w:tcW w:type="dxa" w:w="2880"/>
            <w:shd w:val="clear" w:color="auto" w:fill="E2F0D9"/>
            <w:vAlign w:val="top"/>
          </w:tcPr>
          <w:p>
            <w:r>
              <w:rPr>
                <w:b/>
                <w:sz w:val="16"/>
              </w:rPr>
              <w:t xml:space="preserve">[NEW] </w:t>
            </w:r>
            <w:r>
              <w:rPr>
                <w:sz w:val="16"/>
              </w:rPr>
              <w:t>A.4 KOSHA RAG retrieval — both query variants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Two query variants were issued through the same retrieval code path used in the rest of the paper (src.rag.local_kosha_rag.search_index against the live SQLite FTS index). Variant A — generic_cryogenic_flare_drum_en (discipline filter = vessel). Spec-faithful natural query: “cryogenic flare knockout drum austenitic stainless steel pressure vessel low temperature service full vacuum 압력용기 저온 플레어”. Returns 10/10 vessel-discipline hits: 2 mandatory law-article hits + 8 KOSHA technical guides. Top-3: Variant B — narrow_cryogenic_kr_terms (no discipline filter). Narrower probe: “저온 cryogenic 플레어 flare 스테인리스 stainless 압력용기 산업안전보건 process safety”. Returns 10/10 hits: 1 mandatory law-article hit + 9 KOSHA guides / PSM technical-support documents. Top-3: The first mandatory hit in Variant B is at rank 5: KOSHA04_002000002000004000000000266000 — 제266조 차단밸브의 설치 금지 (Article 266, Rules on Occupational Safety and Health Standards: prohibition on installing block valves on safety-critical relief / flare paths). This is a directly relevant Korean-jurisdiction obligation for a flare knockout drum; ASME Section VIII Div.1 alone does not surface it. The full top-10 of each variant, with bm25 scores …[truncated]</w:t>
            </w:r>
          </w:p>
        </w:tc>
      </w:tr>
      <w:tr>
        <w:tc>
          <w:tcPr>
            <w:tcW w:type="dxa" w:w="576"/>
            <w:shd w:val="clear" w:color="auto" w:fill="E2F0D9"/>
            <w:vAlign w:val="top"/>
          </w:tcPr>
          <w:p>
            <w:r>
              <w:rPr>
                <w:sz w:val="16"/>
              </w:rPr>
              <w:t>50</w:t>
            </w:r>
          </w:p>
        </w:tc>
        <w:tc>
          <w:tcPr>
            <w:tcW w:type="dxa" w:w="2880"/>
            <w:shd w:val="clear" w:color="auto" w:fill="E2F0D9"/>
            <w:vAlign w:val="top"/>
          </w:tcPr>
          <w:p>
            <w:r>
              <w:rPr>
                <w:b/>
                <w:sz w:val="16"/>
              </w:rPr>
              <w:t xml:space="preserve">[NEW] </w:t>
            </w:r>
            <w:r>
              <w:rPr>
                <w:sz w:val="16"/>
              </w:rPr>
              <w:t>A.5 What this confirms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(M-111-2015), remaining-life assessment (M-69-2012), pressure-vessel repair (M-113-2012), post-weld heat treatment (M-184-2015), and thickness-loss risk assessment (M-109-2012); the narrow Korean-term probe additionally returns Article 266 of the Rules on Occupational Safety and Health Standards — the Korean statutory provision restricting block-valve installation on flare and relief paths — at rank 5, mandatory class. The retrieval is therefore not weak: the spec-faithful variant returns 2 mandatory + 8 vessel-relevant guidance hits, and the narrow …[truncated]</w:t>
            </w:r>
          </w:p>
        </w:tc>
      </w:tr>
      <w:tr>
        <w:tc>
          <w:tcPr>
            <w:tcW w:type="dxa" w:w="576"/>
            <w:shd w:val="clear" w:color="auto" w:fill="FFF2CC"/>
            <w:vAlign w:val="top"/>
          </w:tcPr>
          <w:p>
            <w:r>
              <w:rPr>
                <w:sz w:val="16"/>
              </w:rPr>
              <w:t>51</w:t>
            </w:r>
          </w:p>
        </w:tc>
        <w:tc>
          <w:tcPr>
            <w:tcW w:type="dxa" w:w="2880"/>
            <w:shd w:val="clear" w:color="auto" w:fill="FFF2CC"/>
            <w:vAlign w:val="top"/>
          </w:tcPr>
          <w:p>
            <w:r>
              <w:rPr>
                <w:b/>
                <w:sz w:val="16"/>
              </w:rPr>
              <w:t xml:space="preserve">[REVISED] </w:t>
            </w:r>
            <w:r>
              <w:rPr>
                <w:sz w:val="16"/>
              </w:rPr>
              <w:t>A.6 Synthetic-data framing considerations</w:t>
            </w:r>
          </w:p>
        </w:tc>
        <w:tc>
          <w:tcPr>
            <w:tcW w:type="dxa" w:w="5760"/>
            <w:shd w:val="clear" w:color="auto" w:fill="FFF2CC"/>
            <w:vAlign w:val="top"/>
          </w:tcPr>
          <w:p>
            <w:r>
              <w:rPr>
                <w:sz w:val="16"/>
              </w:rPr>
              <w:t>(was: 6.1 Layer 1 — Input validation)</w:t>
              <w:br/>
              <w:br/>
              <w:t>Mandatory field presence, unit contract compliance, and domain-specific range constraints. Missing critical fields or unit violations trigger a blocking error that prevents downstream calculation. This layer gates all subsequent processing.</w:t>
            </w:r>
          </w:p>
        </w:tc>
        <w:tc>
          <w:tcPr>
            <w:tcW w:type="dxa" w:w="5760"/>
            <w:shd w:val="clear" w:color="auto" w:fill="FFF2CC"/>
            <w:vAlign w:val="top"/>
          </w:tcPr>
          <w:p>
            <w:r>
              <w:rPr>
                <w:sz w:val="16"/>
              </w:rPr>
              <w:t>This real-plant case responds directly to the concern that the §6 evaluation rests on synthetic data alone. What VES-REAL-001 demonstrates is that the pipeline runs end-to-end on a real EPC vessel data sheet, that ASME UG-27 governs cleanly, that the engine correctly rejects out-of-scope inputs (the −190 °C cryogenic side returns STD.OUT_OF_SCOPE_APPLICATION rather than a fabricated answer), and that KOSHA RAG retrieval surfaces jurisdiction-relevant guidance and at least one mandatory provision (Article 266 on flare-path block-valve prohibition) on a real-plant query. What VES-REAL-001 does not demonstrate is external accuracy validation against an independently audited reference: the data sheet supplies design inputs but no independently measured outputs, so the case shows execution and retrieval behaviour, not predictive fidelity. Predictive validation against operating-record outcomes remains future work (§8 Limitation 1). Reproduction. python scripts/run_real_case_ves001_rag.py regenerates outputs/real_case_ves001_rag.json and outputs/real_case_ves001_rag.md. The KOSHA RAG index used is datasets/kosha_rag/kosha_local_rag.sqlite3. No randomness; outputs are deterministic.</w:t>
            </w:r>
          </w:p>
        </w:tc>
      </w:tr>
      <w:tr>
        <w:tc>
          <w:tcPr>
            <w:tcW w:type="dxa" w:w="576"/>
            <w:shd w:val="clear" w:color="auto" w:fill="E2F0D9"/>
            <w:vAlign w:val="top"/>
          </w:tcPr>
          <w:p>
            <w:r>
              <w:rPr>
                <w:sz w:val="16"/>
              </w:rPr>
              <w:t>52</w:t>
            </w:r>
          </w:p>
        </w:tc>
        <w:tc>
          <w:tcPr>
            <w:tcW w:type="dxa" w:w="2880"/>
            <w:shd w:val="clear" w:color="auto" w:fill="E2F0D9"/>
            <w:vAlign w:val="top"/>
          </w:tcPr>
          <w:p>
            <w:r>
              <w:rPr>
                <w:b/>
                <w:sz w:val="16"/>
              </w:rPr>
              <w:t xml:space="preserve">[NEW] </w:t>
            </w:r>
            <w:r>
              <w:rPr>
                <w:sz w:val="16"/>
              </w:rPr>
              <w:t>Appendix B — Extended validation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This appendix consolidates four supplementary measurements (per-discipline accuracy spread, recall saturation, pipeline latency, retrieval failure inventory) and a reproducibility statement. Every table is regenerated by scripts/reproduce_all.py (13/13 scripts pass on a clean run).</w:t>
            </w:r>
          </w:p>
        </w:tc>
      </w:tr>
      <w:tr>
        <w:tc>
          <w:tcPr>
            <w:tcW w:type="dxa" w:w="576"/>
            <w:shd w:val="clear" w:color="auto" w:fill="E2F0D9"/>
            <w:vAlign w:val="top"/>
          </w:tcPr>
          <w:p>
            <w:r>
              <w:rPr>
                <w:sz w:val="16"/>
              </w:rPr>
              <w:t>53</w:t>
            </w:r>
          </w:p>
        </w:tc>
        <w:tc>
          <w:tcPr>
            <w:tcW w:type="dxa" w:w="2880"/>
            <w:shd w:val="clear" w:color="auto" w:fill="E2F0D9"/>
            <w:vAlign w:val="top"/>
          </w:tcPr>
          <w:p>
            <w:r>
              <w:rPr>
                <w:b/>
                <w:sz w:val="16"/>
              </w:rPr>
              <w:t xml:space="preserve">[NEW] </w:t>
            </w:r>
            <w:r>
              <w:rPr>
                <w:sz w:val="16"/>
              </w:rPr>
              <w:t>B.1 Per-discipline calculation accuracy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 natural follow-up question is whether the system performs unevenly across disciplines. Per-discipline breakdown (outputs/per_discipline_accuracy.md): Total cases: 220 Passed cases: 220 Overall accuracy: 1.0000 Source dataset: datasets/golden_standards/*_golden_dataset_v1.json Code path: scripts/benchmark_all_runtime.py (re-used). Per-Discipline Table Red-flag Confusion (Per-Discipline). Per-flag, per-case counts: TP = expected and predicted; FP = predicted but not expected; FN = expected but not predicted. Caveat (self-consistency, not external ground-truth fidelity). The expected outputs in datasets/golden_standards/*.json were generated by the same calculation engine that the runtime now reproduces. The 1.0000 uniform accuracy therefore measures implementation self-consistency — the engine’s behaviour at runtime matches its behaviour at dataset-generation time — not external fidelity to a separately validated reference. This caveat is consistent with the “implementation verification, not predictive validation” framing of §6.1 and is restated as Limitation 8 in §8.</w:t>
            </w:r>
          </w:p>
        </w:tc>
      </w:tr>
      <w:tr>
        <w:tc>
          <w:tcPr>
            <w:tcW w:type="dxa" w:w="576"/>
            <w:shd w:val="clear" w:color="auto" w:fill="E2F0D9"/>
            <w:vAlign w:val="top"/>
          </w:tcPr>
          <w:p>
            <w:r>
              <w:rPr>
                <w:sz w:val="16"/>
              </w:rPr>
              <w:t>54</w:t>
            </w:r>
          </w:p>
        </w:tc>
        <w:tc>
          <w:tcPr>
            <w:tcW w:type="dxa" w:w="2880"/>
            <w:shd w:val="clear" w:color="auto" w:fill="E2F0D9"/>
            <w:vAlign w:val="top"/>
          </w:tcPr>
          <w:p>
            <w:r>
              <w:rPr>
                <w:b/>
                <w:sz w:val="16"/>
              </w:rPr>
              <w:t xml:space="preserve">[NEW] </w:t>
            </w:r>
            <w:r>
              <w:rPr>
                <w:sz w:val="16"/>
              </w:rPr>
              <w:t>B.2 Recall@K extension (K = 1..10)</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Per-K table from outputs/rag_retrieval_extended.md (Dataset: datasets/kosha_rag/rag_eval_queries.json; queries: 50; bootstrap draws: 1000, seed=20260508): Point Estimates per K Paired Difference (Enhanced − Plain) per K The Enhanced curve saturates at 0.8621 from K = 3; the Plain curve continues to rise. Paired-bootstrap 95% CI on the Enhanced − Plain delta excludes zero only at K∈{1, 2}. The headline retrieval claim of the paper is therefore narrowed to Recall@1 and MRR@10 (§6.5).</w:t>
            </w:r>
          </w:p>
        </w:tc>
      </w:tr>
      <w:tr>
        <w:tc>
          <w:tcPr>
            <w:tcW w:type="dxa" w:w="576"/>
            <w:shd w:val="clear" w:color="auto" w:fill="E2F0D9"/>
            <w:vAlign w:val="top"/>
          </w:tcPr>
          <w:p>
            <w:r>
              <w:rPr>
                <w:sz w:val="16"/>
              </w:rPr>
              <w:t>55</w:t>
            </w:r>
          </w:p>
        </w:tc>
        <w:tc>
          <w:tcPr>
            <w:tcW w:type="dxa" w:w="2880"/>
            <w:shd w:val="clear" w:color="auto" w:fill="E2F0D9"/>
            <w:vAlign w:val="top"/>
          </w:tcPr>
          <w:p>
            <w:r>
              <w:rPr>
                <w:b/>
                <w:sz w:val="16"/>
              </w:rPr>
              <w:t xml:space="preserve">[NEW] </w:t>
            </w:r>
            <w:r>
              <w:rPr>
                <w:sz w:val="16"/>
              </w:rPr>
              <w:t>B.3 Pipeline end-to-end latency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Median latency per stage on a commodity AMD x86-64 CPU under Python 3.13 (outputs/pipeline_latency.md; Platform: Windows 10 (AMD64); CPU: AMD64 Family 25 Model 33 Stepping 2; repetitions per stage: 5): Per-Discipline Layered Stack (Layers 1–4 Combined, service.evaluate) Piping Per-Layer Breakdown (case PIP-GOLD-001): Cross-Discipline Validator (one paired call across 7 disciplines): median 0.028 ms, p95 0.045 ms, min/max 0.021 / 0.045 ms. KOSHA RAG Retrieval (top-10): query pressure vessel remaining life assessment, hit count 4, median 1.151 ms, p95 3.351 ms, min/max 1.018 / 3.351 ms. KOSHA RAG Generation (Qwen via Ollama): model qwen3:4b, prompt 2,054 chars, median 41,725.0 ms, p95 62,277.2 ms, min/max 31,919.7 / 62,277.2 ms. End-to-End Median. Composition: piping service.evaluate median + cross-discipline validator median + RAG retrieval median (+ RAG generation median). End-to-end median: 41,726.22 ms. The deterministic stack (input validation, K-voting, physics/code compliance, reverse verification, cross-discipline validator, BM25 retrieval) completes in approximately 1.2 ms per case. The Qwen-family generation step on the on-premises Ollama server adds approximately 42 s …[truncated]</w:t>
            </w:r>
          </w:p>
        </w:tc>
      </w:tr>
      <w:tr>
        <w:tc>
          <w:tcPr>
            <w:tcW w:type="dxa" w:w="576"/>
            <w:shd w:val="clear" w:color="auto" w:fill="E2F0D9"/>
            <w:vAlign w:val="top"/>
          </w:tcPr>
          <w:p>
            <w:r>
              <w:rPr>
                <w:sz w:val="16"/>
              </w:rPr>
              <w:t>56</w:t>
            </w:r>
          </w:p>
        </w:tc>
        <w:tc>
          <w:tcPr>
            <w:tcW w:type="dxa" w:w="2880"/>
            <w:shd w:val="clear" w:color="auto" w:fill="E2F0D9"/>
            <w:vAlign w:val="top"/>
          </w:tcPr>
          <w:p>
            <w:r>
              <w:rPr>
                <w:b/>
                <w:sz w:val="16"/>
              </w:rPr>
              <w:t xml:space="preserve">[NEW] </w:t>
            </w:r>
            <w:r>
              <w:rPr>
                <w:sz w:val="16"/>
              </w:rPr>
              <w:t>B.4 Retrieval failure inventory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Honest disclosure of where retrieval still misses on the 50-query curated benchmark (outputs/retrieval_failure_inventory.md; Enhanced FTS, K=5 threshold; failure rule: failure := first_relevant_rank &gt; 5 OR no relevant hit in top-10; failure count 7/50 = 0.1400): Diagnosis category definitions: paraphrase_too_loose — the query phrasing diverges from the indexed chunk’s vocabulary beyond what the synonym expansion bridges; regulatory_class_mismatch — the retrieval favours a guidance-class hit when the target is a mandatory provision (or vice versa). Six of seven failures fall in paraphrase_too_loose, concentrated in the C-C-23 RBI, B-M-18 piping life, C-C-75 corrosion risk, and Article 256 corrosion-prevention groups. This single dominant failure mode is an honest input for future work on a hybrid lexical + semantic retriever (§8 future research direction (3)).</w:t>
            </w:r>
          </w:p>
        </w:tc>
      </w:tr>
      <w:tr>
        <w:tc>
          <w:tcPr>
            <w:tcW w:type="dxa" w:w="576"/>
            <w:shd w:val="clear" w:color="auto" w:fill="FFF2CC"/>
            <w:vAlign w:val="top"/>
          </w:tcPr>
          <w:p>
            <w:r>
              <w:rPr>
                <w:sz w:val="16"/>
              </w:rPr>
              <w:t>57</w:t>
            </w:r>
          </w:p>
        </w:tc>
        <w:tc>
          <w:tcPr>
            <w:tcW w:type="dxa" w:w="2880"/>
            <w:shd w:val="clear" w:color="auto" w:fill="FFF2CC"/>
            <w:vAlign w:val="top"/>
          </w:tcPr>
          <w:p>
            <w:r>
              <w:rPr>
                <w:b/>
                <w:sz w:val="16"/>
              </w:rPr>
              <w:t xml:space="preserve">[REVISED] </w:t>
            </w:r>
            <w:r>
              <w:rPr>
                <w:sz w:val="16"/>
              </w:rPr>
              <w:t>B.5 Reproducibility</w:t>
            </w:r>
          </w:p>
        </w:tc>
        <w:tc>
          <w:tcPr>
            <w:tcW w:type="dxa" w:w="5760"/>
            <w:shd w:val="clear" w:color="auto" w:fill="FFF2CC"/>
            <w:vAlign w:val="top"/>
          </w:tcPr>
          <w:p>
            <w:r>
              <w:rPr>
                <w:sz w:val="16"/>
              </w:rPr>
              <w:t>(was: 3.3 Generalisability)</w:t>
              <w:br/>
              <w:br/>
              <w:t>While we illustrate this gap in Korean jurisdiction, the concept likely applies wherever national regulations augment international codes: EU Pressure Equipment Directive layered on ASME; Saudi GACA requirements layered on FAA; Chinese GB standards layered on ISO. Any jurisdiction with a regulatory layer beyond international code calculations may exhibit analogous gaps.</w:t>
            </w:r>
          </w:p>
        </w:tc>
        <w:tc>
          <w:tcPr>
            <w:tcW w:type="dxa" w:w="5760"/>
            <w:shd w:val="clear" w:color="auto" w:fill="FFF2CC"/>
            <w:vAlign w:val="top"/>
          </w:tcPr>
          <w:p>
            <w:r>
              <w:rPr>
                <w:sz w:val="16"/>
              </w:rPr>
              <w:t>scripts/reproduce_all.py regenerates every figure, table, and outputs/*.md cited in this manuscript with a single command from a clean repository state. End-to-end run on a clean checkout: 13/13 scripts complete successfully (python scripts/reproduce_all.py). The KOSHA-corpus rebuild (network + 200 MB SQLite) is intentionally excluded from the runner and documented separately under scripts/sync_kosha_corpus.py.</w:t>
            </w:r>
          </w:p>
        </w:tc>
      </w:tr>
      <w:tr>
        <w:tc>
          <w:tcPr>
            <w:tcW w:type="dxa" w:w="576"/>
            <w:shd w:val="clear" w:color="auto" w:fill="FFF2CC"/>
            <w:vAlign w:val="top"/>
          </w:tcPr>
          <w:p>
            <w:r>
              <w:rPr>
                <w:sz w:val="16"/>
              </w:rPr>
              <w:t>58</w:t>
            </w:r>
          </w:p>
        </w:tc>
        <w:tc>
          <w:tcPr>
            <w:tcW w:type="dxa" w:w="2880"/>
            <w:shd w:val="clear" w:color="auto" w:fill="FFF2CC"/>
            <w:vAlign w:val="top"/>
          </w:tcPr>
          <w:p>
            <w:r>
              <w:rPr>
                <w:b/>
                <w:sz w:val="16"/>
              </w:rPr>
              <w:t xml:space="preserve">[REVISED] </w:t>
            </w:r>
            <w:r>
              <w:rPr>
                <w:sz w:val="16"/>
              </w:rPr>
              <w:t>References</w:t>
            </w:r>
          </w:p>
        </w:tc>
        <w:tc>
          <w:tcPr>
            <w:tcW w:type="dxa" w:w="5760"/>
            <w:shd w:val="clear" w:color="auto" w:fill="FFF2CC"/>
            <w:vAlign w:val="top"/>
          </w:tcPr>
          <w:p>
            <w:r>
              <w:rPr>
                <w:sz w:val="16"/>
              </w:rPr>
              <w:t>Ait-Alla, A., Quandt, M., Lütjen, M., Freitag, M., 2022. On Predictive Maintenance in Industry 4.0: Overview, Models, and Challenges. Applied Sciences 12 (16), 8081. Avizienis, A., 1985. The N-version approach to fault-tolerant software. IEEE Trans. Softw. Eng. SE-11 (12), 1491–1501. Elhosary, M. et al., 2024. LLM-assisted HAZOP study using retrieval-augmented generation. IChemE Symposium Series No. 171: Hazards 34. Gao, Y., Xiong, Y., Huang, X. et al., 2024. Retrieval-Augmented Generation for Large Language Models: A Survey. arXiv:2312.10997. Hector, I., Panjanathan, R., 2024. Predictive maintenance in Industry 4.0: a survey of planning models and ML techniques. PeerJ Comput. Sci. 10, e2016. Jones, J.F. et al., 2025. AI for asset integrity management of offshore oil and gas pipelines. Life Cycle Reliability and Safety Engineering. Kim, H., Yi, J.-S., Jang, Y., 2022. Analyzing Patterns of Multi-cause Accidents From KOSHA’s Case Reports Using Text Mining. J. Architectural Institute of Korea 38 (4), 237–244. Klesel, M., Wittmann, H.F., 2025. Retrieval-Augmented Generation (RAG). Bus. Inf. Syst. Eng. 67 (4), 551–561. Lee, J., Ahn, S., 2025. AI Prototype for Construction Safety …[truncated]</w:t>
            </w:r>
          </w:p>
        </w:tc>
        <w:tc>
          <w:tcPr>
            <w:tcW w:type="dxa" w:w="5760"/>
            <w:shd w:val="clear" w:color="auto" w:fill="FFF2CC"/>
            <w:vAlign w:val="top"/>
          </w:tcPr>
          <w:p>
            <w:r>
              <w:rPr>
                <w:sz w:val="16"/>
              </w:rPr>
              <w:t>[1] Selvam, D.C., Raja, T., Vaghela, D.R., Meena, M., Tripathy, S., Kumar, B., Manjunath, H.R., Mehar, K., Devarajan, Y. (2026). Artificial intelligence in process safety: A review of opportunities, challenges, and future directions for the chemical process industries. Journal of Loss Prevention in the Process Industries. DOI: 10.1016/j.jlp.2026.105917 [2] Woo, T., Kim, S., Tariq, S., Heo, S., Yoo, C. (2025). Leveraging Generative AI and Large Language Model for Process Systems Engineering: A State-of-the-Art Review. Korean Journal of Chemical Engineering, 42, 2787-2808. DOI: 10.1007/s11814-025-00524-y [3] Elhosary, M. et al. (2024). LLM-assisted HAZOP study using retrieval-augmented generation. IChemE Symposium Series No. 171: Hazards 34. [4] Walavalkar, V. et al. (2021). Machine Learning and Deep Learning in Chemical Health and Safety: A Systematic Review of Techniques and Applications. ACS Chemical Health &amp; Safety. DOI: 10.1021/acs.chas.0c00075 [5] Lewis, P., Perez, E., Piktus, A. et al. (2020). Retrieval-Augmented Generation for Knowledge-Intensive NLP Tasks. Advances in Neural Information Processing Systems (NeurIPS 2020), 33, 9459-9474. [6] Walker, C., Aslansefat, K., Akram, …[truncated]</w:t>
            </w:r>
          </w:p>
        </w:tc>
      </w:tr>
      <w:tr>
        <w:tc>
          <w:tcPr>
            <w:tcW w:type="dxa" w:w="576"/>
            <w:shd w:val="clear" w:color="auto" w:fill="FBE5D6"/>
            <w:vAlign w:val="top"/>
          </w:tcPr>
          <w:p>
            <w:r>
              <w:rPr>
                <w:sz w:val="16"/>
              </w:rPr>
              <w:t>59</w:t>
            </w:r>
          </w:p>
        </w:tc>
        <w:tc>
          <w:tcPr>
            <w:tcW w:type="dxa" w:w="2880"/>
            <w:shd w:val="clear" w:color="auto" w:fill="FBE5D6"/>
            <w:vAlign w:val="top"/>
          </w:tcPr>
          <w:p>
            <w:r>
              <w:rPr>
                <w:b/>
                <w:sz w:val="16"/>
              </w:rPr>
              <w:t xml:space="preserve">[DELETED] </w:t>
            </w:r>
            <w:r>
              <w:rPr>
                <w:sz w:val="16"/>
              </w:rPr>
              <w:t>Highlights</w:t>
            </w:r>
          </w:p>
        </w:tc>
        <w:tc>
          <w:tcPr>
            <w:tcW w:type="dxa" w:w="5760"/>
            <w:shd w:val="clear" w:color="auto" w:fill="FBE5D6"/>
            <w:vAlign w:val="top"/>
          </w:tcPr>
          <w:p>
            <w:r>
              <w:rPr>
                <w:sz w:val="16"/>
              </w:rPr>
              <w:t>We define the jurisdiction compliance gap between international engineering codes and national safety regulations. A KOSHA-grounded regulatory RAG layer identifies Korean-jurisdiction obligations missed by code-only calculations. Cross-discipline validation blocks 25 additional hazard scenarios in 60 test cases beyond single-domain checks. A four-layer verification model shows implementation-correct performance across 220 synthetic golden cases in seven disciplines. Concept-aware synonym expansion improves Recall@1 from 0.44 to 0.74 and MRR@10 from 0.57 to 0.79 on a curated Korean regulatory benchmark.</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60</w:t>
            </w:r>
          </w:p>
        </w:tc>
        <w:tc>
          <w:tcPr>
            <w:tcW w:type="dxa" w:w="2880"/>
            <w:shd w:val="clear" w:color="auto" w:fill="FBE5D6"/>
            <w:vAlign w:val="top"/>
          </w:tcPr>
          <w:p>
            <w:r>
              <w:rPr>
                <w:b/>
                <w:sz w:val="16"/>
              </w:rPr>
              <w:t xml:space="preserve">[DELETED] </w:t>
            </w:r>
            <w:r>
              <w:rPr>
                <w:sz w:val="16"/>
              </w:rPr>
              <w:t>1.1 Motivation: when code compliance is not enough</w:t>
            </w:r>
          </w:p>
        </w:tc>
        <w:tc>
          <w:tcPr>
            <w:tcW w:type="dxa" w:w="5760"/>
            <w:shd w:val="clear" w:color="auto" w:fill="FBE5D6"/>
            <w:vAlign w:val="top"/>
          </w:tcPr>
          <w:p>
            <w:r>
              <w:rPr>
                <w:sz w:val="16"/>
              </w:rPr>
              <w:t>A pressure vessel that satisfies every ASME Section VIII requirement may still violate Korean law. An API 570-compliant piping inspection program may omit mandatory review triggers defined by the Korea Occupational Safety and Health Agency (KOSHA). This is not a hypothetical risk: we hypothesise that this is a structural property of how international engineering codes and national safety regulations interact. International codes such as ASME, API, IEEE, and IEC define the technical basis for engineering calculations—minimum wall thickness, allowable stress, arc-flash energy, safety integrity level. These calculations are necessary for safe design and operation. However, they are not sufficient for legal compliance in jurisdictions that layer additional safety regulations on top of international codes. In Korea, the Occupational Safety and Health Act and its implementing regulations—including KOSHA technical guidelines and the Rules on Occupational Safety and Health Standards—impose procedural, documentation, and compliance obligations that are conditioned on calculation outputs but encoded outside the international standards. We call this structural mismatch a jurisdiction …[truncated]</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61</w:t>
            </w:r>
          </w:p>
        </w:tc>
        <w:tc>
          <w:tcPr>
            <w:tcW w:type="dxa" w:w="2880"/>
            <w:shd w:val="clear" w:color="auto" w:fill="FBE5D6"/>
            <w:vAlign w:val="top"/>
          </w:tcPr>
          <w:p>
            <w:r>
              <w:rPr>
                <w:b/>
                <w:sz w:val="16"/>
              </w:rPr>
              <w:t xml:space="preserve">[DELETED] </w:t>
            </w:r>
            <w:r>
              <w:rPr>
                <w:sz w:val="16"/>
              </w:rPr>
              <w:t>1.3 Paper organisation</w:t>
            </w:r>
          </w:p>
        </w:tc>
        <w:tc>
          <w:tcPr>
            <w:tcW w:type="dxa" w:w="5760"/>
            <w:shd w:val="clear" w:color="auto" w:fill="FBE5D6"/>
            <w:vAlign w:val="top"/>
          </w:tcPr>
          <w:p>
            <w:r>
              <w:rPr>
                <w:sz w:val="16"/>
              </w:rPr>
              <w:t>Section 2 positions this work against related literature. Section 3 defines the jurisdiction compliance gap formally. Section 4 describes system architecture. Section 5 details the KOSHA RAG layer. Section 6 presents the verification model. Section 7 reports experiments. Section 8 discusses findings. Section 9 addresses limitations. Section 10 concludes.</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62</w:t>
            </w:r>
          </w:p>
        </w:tc>
        <w:tc>
          <w:tcPr>
            <w:tcW w:type="dxa" w:w="2880"/>
            <w:shd w:val="clear" w:color="auto" w:fill="FBE5D6"/>
            <w:vAlign w:val="top"/>
          </w:tcPr>
          <w:p>
            <w:r>
              <w:rPr>
                <w:b/>
                <w:sz w:val="16"/>
              </w:rPr>
              <w:t xml:space="preserve">[DELETED] </w:t>
            </w:r>
            <w:r>
              <w:rPr>
                <w:sz w:val="16"/>
              </w:rPr>
              <w:t>3.2 Structural origin</w:t>
            </w:r>
          </w:p>
        </w:tc>
        <w:tc>
          <w:tcPr>
            <w:tcW w:type="dxa" w:w="5760"/>
            <w:shd w:val="clear" w:color="auto" w:fill="FBE5D6"/>
            <w:vAlign w:val="top"/>
          </w:tcPr>
          <w:p>
            <w:r>
              <w:rPr>
                <w:sz w:val="16"/>
              </w:rPr>
              <w:t>International engineering codes define what to calculate and what thresholds to apply. National safety regulations define what to do about the results—documentation requirements, mandatory review triggers, additional control measures. These two regulatory layers address different questions: The gap arises because calculation tools implement only the first layer. The second layer requires access to jurisdiction-specific regulatory knowledge that is external to the calculation engine.</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63</w:t>
            </w:r>
          </w:p>
        </w:tc>
        <w:tc>
          <w:tcPr>
            <w:tcW w:type="dxa" w:w="2880"/>
            <w:shd w:val="clear" w:color="auto" w:fill="FBE5D6"/>
            <w:vAlign w:val="top"/>
          </w:tcPr>
          <w:p>
            <w:r>
              <w:rPr>
                <w:b/>
                <w:sz w:val="16"/>
              </w:rPr>
              <w:t xml:space="preserve">[DELETED] </w:t>
            </w:r>
            <w:r>
              <w:rPr>
                <w:sz w:val="16"/>
              </w:rPr>
              <w:t>4.1 Overview</w:t>
            </w:r>
          </w:p>
        </w:tc>
        <w:tc>
          <w:tcPr>
            <w:tcW w:type="dxa" w:w="5760"/>
            <w:shd w:val="clear" w:color="auto" w:fill="FBE5D6"/>
            <w:vAlign w:val="top"/>
          </w:tcPr>
          <w:p>
            <w:r>
              <w:rPr>
                <w:sz w:val="16"/>
              </w:rPr>
              <w:t>The system comprises an orchestrator, seven domain calculation services, a cross-discipline validator, a KOSHA RAG layer, and an API layer. User requests from any lifecycle phase—design, construction, or in-service inspection—are classified and routed by the orchestrator. Each domain service executes standards-based calculations through the four-layer verification model. Cross-discipline coupling is checked across ten domain pairs. The KOSHA RAG layer provides regulatory grounding. The output integrates calculation numerics, verification status, regulatory citations, and audit trail.</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64</w:t>
            </w:r>
          </w:p>
        </w:tc>
        <w:tc>
          <w:tcPr>
            <w:tcW w:type="dxa" w:w="2880"/>
            <w:shd w:val="clear" w:color="auto" w:fill="FBE5D6"/>
            <w:vAlign w:val="top"/>
          </w:tcPr>
          <w:p>
            <w:r>
              <w:rPr>
                <w:b/>
                <w:sz w:val="16"/>
              </w:rPr>
              <w:t xml:space="preserve">[DELETED] </w:t>
            </w:r>
            <w:r>
              <w:rPr>
                <w:sz w:val="16"/>
              </w:rPr>
              <w:t>4.3 Technology constraints</w:t>
            </w:r>
          </w:p>
        </w:tc>
        <w:tc>
          <w:tcPr>
            <w:tcW w:type="dxa" w:w="5760"/>
            <w:shd w:val="clear" w:color="auto" w:fill="FBE5D6"/>
            <w:vAlign w:val="top"/>
          </w:tcPr>
          <w:p>
            <w:r>
              <w:rPr>
                <w:sz w:val="16"/>
              </w:rPr>
              <w:t>All inference runs on-premises using Ollama with Qwen 2.5 7B Instruct (4-bit quantisation, 32,768-token context). No external data transmission occurs. The RAG index uses SQLite FTS5. This design satisfies industrial data-sovereignty requirements.</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65</w:t>
            </w:r>
          </w:p>
        </w:tc>
        <w:tc>
          <w:tcPr>
            <w:tcW w:type="dxa" w:w="2880"/>
            <w:shd w:val="clear" w:color="auto" w:fill="FBE5D6"/>
            <w:vAlign w:val="top"/>
          </w:tcPr>
          <w:p>
            <w:r>
              <w:rPr>
                <w:b/>
                <w:sz w:val="16"/>
              </w:rPr>
              <w:t xml:space="preserve">[DELETED] </w:t>
            </w:r>
            <w:r>
              <w:rPr>
                <w:sz w:val="16"/>
              </w:rPr>
              <w:t>6.2 Layer 2 — K-voting consensus</w:t>
            </w:r>
          </w:p>
        </w:tc>
        <w:tc>
          <w:tcPr>
            <w:tcW w:type="dxa" w:w="5760"/>
            <w:shd w:val="clear" w:color="auto" w:fill="FBE5D6"/>
            <w:vAlign w:val="top"/>
          </w:tcPr>
          <w:p>
            <w:r>
              <w:rPr>
                <w:sz w:val="16"/>
              </w:rPr>
              <w:t>Three calculation paths execute in parallel, each using deliberately varied numerical strategies: - Path A: standard rounding order and linear interpolation. - Path B: reversed rounding order and cubic interpolation. - Path C: extended intermediate precision (double the significant figures). The consensus criterion is defined as: Relative Deviation = |Output_i − Output_mean| / Output_mean × 100% The maximum relative deviation among the three outputs must not exceed 1%. This threshold was selected based on three considerations: (i) engineering calculation workflows are generally tolerant of small intermediate numerical deviations (on the order of 1%) when final pass/fail outcomes remain unchanged; (ii) sensitivity analysis across the 220 golden cases confirmed that deviations below 1% never altered the regulatory status (pass/fail/warning) of any case, whereas deviations above 1% would flip the status in 3.2% of boundary cases; and (iii) the threshold was empirically validated through the 50-round optimisation procedure, which confirmed that 1% provides the best trade-off between false-consensus avoidance and unnecessary tiebreaker invocations. Detailed threshold sensitivity …[truncated]</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66</w:t>
            </w:r>
          </w:p>
        </w:tc>
        <w:tc>
          <w:tcPr>
            <w:tcW w:type="dxa" w:w="2880"/>
            <w:shd w:val="clear" w:color="auto" w:fill="FBE5D6"/>
            <w:vAlign w:val="top"/>
          </w:tcPr>
          <w:p>
            <w:r>
              <w:rPr>
                <w:b/>
                <w:sz w:val="16"/>
              </w:rPr>
              <w:t xml:space="preserve">[DELETED] </w:t>
            </w:r>
            <w:r>
              <w:rPr>
                <w:sz w:val="16"/>
              </w:rPr>
              <w:t>8.1 Practical significance of jurisdiction compliance gaps</w:t>
            </w:r>
          </w:p>
        </w:tc>
        <w:tc>
          <w:tcPr>
            <w:tcW w:type="dxa" w:w="5760"/>
            <w:shd w:val="clear" w:color="auto" w:fill="FBE5D6"/>
            <w:vAlign w:val="top"/>
          </w:tcPr>
          <w:p>
            <w:r>
              <w:rPr>
                <w:sz w:val="16"/>
              </w:rPr>
              <w:t>The jurisdiction compliance gap has direct consequences across the plant lifecycle: Design phase: Calculation packages satisfying ASME/API deliverables may miss KOSHA documentation obligations, creating audit risk. Construction phase: Commissioning based solely on international codes may skip Korean regulatory steps. Operation phase: Inspection programs following API 510/570 may not satisfy KOSHA-mandated review triggers. The cost of detecting these gaps at the calculation stage is negligible (a RAG query). The cost of detecting them at regulatory audit—or after an incident—can be severe.</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67</w:t>
            </w:r>
          </w:p>
        </w:tc>
        <w:tc>
          <w:tcPr>
            <w:tcW w:type="dxa" w:w="2880"/>
            <w:shd w:val="clear" w:color="auto" w:fill="FBE5D6"/>
            <w:vAlign w:val="top"/>
          </w:tcPr>
          <w:p>
            <w:r>
              <w:rPr>
                <w:b/>
                <w:sz w:val="16"/>
              </w:rPr>
              <w:t xml:space="preserve">[DELETED] </w:t>
            </w:r>
            <w:r>
              <w:rPr>
                <w:sz w:val="16"/>
              </w:rPr>
              <w:t>8.2 K-voting consensus as a verification strategy</w:t>
            </w:r>
          </w:p>
        </w:tc>
        <w:tc>
          <w:tcPr>
            <w:tcW w:type="dxa" w:w="5760"/>
            <w:shd w:val="clear" w:color="auto" w:fill="FBE5D6"/>
            <w:vAlign w:val="top"/>
          </w:tcPr>
          <w:p>
            <w:r>
              <w:rPr>
                <w:sz w:val="16"/>
              </w:rPr>
              <w:t>The K-voting layer serves a different purpose than traditional software testing. It detects the class of bugs where a single implementation appears correct but produces numerically inconsistent results due to rounding, interpolation, or precision choices. In engineering calculations where small differences can cross regulatory thresholds, this class of error is practically significant.</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68</w:t>
            </w:r>
          </w:p>
        </w:tc>
        <w:tc>
          <w:tcPr>
            <w:tcW w:type="dxa" w:w="2880"/>
            <w:shd w:val="clear" w:color="auto" w:fill="FBE5D6"/>
            <w:vAlign w:val="top"/>
          </w:tcPr>
          <w:p>
            <w:r>
              <w:rPr>
                <w:b/>
                <w:sz w:val="16"/>
              </w:rPr>
              <w:t xml:space="preserve">[DELETED] </w:t>
            </w:r>
            <w:r>
              <w:rPr>
                <w:sz w:val="16"/>
              </w:rPr>
              <w:t>8.4 Comparison with conventional workflows</w:t>
            </w:r>
          </w:p>
        </w:tc>
        <w:tc>
          <w:tcPr>
            <w:tcW w:type="dxa" w:w="5760"/>
            <w:shd w:val="clear" w:color="auto" w:fill="FBE5D6"/>
            <w:vAlign w:val="top"/>
          </w:tcPr>
          <w:p>
            <w:r>
              <w:rPr>
                <w:sz w:val="16"/>
              </w:rPr>
              <w:t>It is important to acknowledge that the baselines in this study are internal ablations (validator on/off, plain vs enhanced FTS) rather than comparisons against external industrial tools or manual review processes. In conventional Korean EPC practice, KOSHA compliance is typically checked through a manual regulatory checklist maintained by the plant owner’s PSM team, applied after engineering calculations are complete and often after project handover. The proposed system differs in that it integrates regulatory screening into the calculation stage itself. However, a formal comparison — for instance, measuring detection rates of a manual KOSHA checklist review vs the automated RAG layer on the same case set — has not been performed and would require practitioner participation. Such a comparison is a priority for future field pilot studies and would substantially strengthen the evidence base.</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69</w:t>
            </w:r>
          </w:p>
        </w:tc>
        <w:tc>
          <w:tcPr>
            <w:tcW w:type="dxa" w:w="2880"/>
            <w:shd w:val="clear" w:color="auto" w:fill="FBE5D6"/>
            <w:vAlign w:val="top"/>
          </w:tcPr>
          <w:p>
            <w:r>
              <w:rPr>
                <w:b/>
                <w:sz w:val="16"/>
              </w:rPr>
              <w:t xml:space="preserve">[DELETED] </w:t>
            </w:r>
            <w:r>
              <w:rPr>
                <w:sz w:val="16"/>
              </w:rPr>
              <w:t>8.5 Limitations of the evaluation</w:t>
            </w:r>
          </w:p>
        </w:tc>
        <w:tc>
          <w:tcPr>
            <w:tcW w:type="dxa" w:w="5760"/>
            <w:shd w:val="clear" w:color="auto" w:fill="FBE5D6"/>
            <w:vAlign w:val="top"/>
          </w:tcPr>
          <w:p>
            <w:r>
              <w:rPr>
                <w:sz w:val="16"/>
              </w:rPr>
              <w:t>The golden dataset is entirely synthetic. The retrieval benchmark is curated. The three case studies are illustrative rather than exhaustive. These limitations are inherent to a first-generation proof-of-feasibility system paper and are addressed in Section 9.</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70</w:t>
            </w:r>
          </w:p>
        </w:tc>
        <w:tc>
          <w:tcPr>
            <w:tcW w:type="dxa" w:w="2880"/>
            <w:shd w:val="clear" w:color="auto" w:fill="FBE5D6"/>
            <w:vAlign w:val="top"/>
          </w:tcPr>
          <w:p>
            <w:r>
              <w:rPr>
                <w:b/>
                <w:sz w:val="16"/>
              </w:rPr>
              <w:t xml:space="preserve">[DELETED] </w:t>
            </w:r>
            <w:r>
              <w:rPr>
                <w:sz w:val="16"/>
              </w:rPr>
              <w:t>CRediT Authorship Contribution Statement</w:t>
            </w:r>
          </w:p>
        </w:tc>
        <w:tc>
          <w:tcPr>
            <w:tcW w:type="dxa" w:w="5760"/>
            <w:shd w:val="clear" w:color="auto" w:fill="FBE5D6"/>
            <w:vAlign w:val="top"/>
          </w:tcPr>
          <w:p>
            <w:r>
              <w:rPr>
                <w:sz w:val="16"/>
              </w:rPr>
              <w:t>Yuyong Kim: Conceptualization, Methodology, Software, Validation, Formal analysis, Investigation, Data curation, Writing – original draft, Writing – review &amp; editing, Visualization.</w:t>
            </w:r>
          </w:p>
        </w:tc>
        <w:tc>
          <w:tcPr>
            <w:tcW w:type="dxa" w:w="5760"/>
            <w:shd w:val="clear" w:color="auto" w:fill="FBE5D6"/>
            <w:vAlign w:val="top"/>
          </w:tcPr>
          <w:p>
            <w:r>
              <w:rPr>
                <w:sz w:val="16"/>
              </w:rPr>
              <w:t>— (removed in revision; content typically folded into another section)</w:t>
            </w:r>
          </w:p>
        </w:tc>
      </w:tr>
    </w:tbl>
    <w:sectPr w:rsidR="00FC693F" w:rsidRPr="0006063C" w:rsidSect="00034616">
      <w:pgSz w:w="15840" w:h="12240" w:orient="landscape"/>
      <w:pgMar w:top="850" w:right="680" w:bottom="85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