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2.png" ContentType="image/png"/>
  <Override PartName="/word/media/rId4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12db9d99a5ba7d4a6ed195b593e01dda56b732f"/>
    <w:p>
      <w:pPr>
        <w:pStyle w:val="Heading1"/>
      </w:pPr>
      <w:r>
        <w:t xml:space="preserve">Detecting Jurisdiction Compliance Gaps in Process Plant Engineering with Regulatory RAG</w:t>
      </w:r>
    </w:p>
    <w:p>
      <w:pPr>
        <w:pStyle w:val="FirstParagraph"/>
      </w:pPr>
      <w:r>
        <w:rPr>
          <w:b/>
          <w:bCs/>
        </w:rPr>
        <w:t xml:space="preserve">Yuyong Kim</w:t>
      </w:r>
      <w:r>
        <w:t xml:space="preserve"> </w:t>
      </w:r>
      <w:r>
        <w:rPr>
          <w:i/>
          <w:iCs/>
        </w:rPr>
        <w:t xml:space="preserve">University of Wisconsin–Madison</w:t>
      </w:r>
      <w:r>
        <w:t xml:space="preserve"> </w:t>
      </w:r>
      <w:r>
        <w:t xml:space="preserve">ykim288@wisc.edu</w:t>
      </w:r>
    </w:p>
    <w:p>
      <w:pPr>
        <w:pStyle w:val="BodyText"/>
      </w:pPr>
      <w:r>
        <w:t xml:space="preserve">Manuscript number: JLP-D-26-00414 (revised)</w:t>
      </w:r>
    </w:p>
    <w:p>
      <w:r>
        <w:pict>
          <v:rect style="width:0;height:1.5pt" o:hralign="center" o:hrstd="t" o:hr="t"/>
        </w:pict>
      </w:r>
    </w:p>
    <w:bookmarkStart w:id="9" w:name="abstract"/>
    <w:p>
      <w:pPr>
        <w:pStyle w:val="Heading2"/>
      </w:pPr>
      <w:r>
        <w:t xml:space="preserve">Abstract</w:t>
      </w:r>
    </w:p>
    <w:p>
      <w:pPr>
        <w:pStyle w:val="FirstParagraph"/>
      </w:pPr>
      <w:r>
        <w:t xml:space="preserve">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This paper presents an integrated AI verification platform composed of three layers: (1) seven domain calculation engines implementing ASME, API, IEEE, IEC, ACI, and AISC standards; (2) a four-layer hybrid verification model comprising input validation, K-voting consensus, physics/code compliance, and reverse verification; and (3) a local Retrieval-Augmented Generation (RAG) layer built from a Korea Occupational Safety and Health Agency (KOSHA) public-API snapshot containing 1,327 guide documents and 3,102 statutory-provision rows, of which</w:t>
      </w:r>
      <w:r>
        <w:t xml:space="preserve"> </w:t>
      </w:r>
      <w:r>
        <w:rPr>
          <w:b/>
          <w:bCs/>
        </w:rPr>
        <w:t xml:space="preserve">16,174 entries (13,084 guide chunks + 3,090 indexed law-article entries)</w:t>
      </w:r>
      <w:r>
        <w:t xml:space="preserve"> </w:t>
      </w:r>
      <w:r>
        <w:t xml:space="preserve">are retained as searchable documents in the SQLite FTS5 index. Twelve law-article rows were excluded because their statutory body text was empty in the source API response (four are repealed articles for which an empty body is expected; the remaining eight are pending refetch — see §8 Limitation 6). Regulatory grounding is generated by an on-premises Qwen 2.5 7B Instruct model. All 220 synthetic golden cases pass end-to-end implementation verification (accuracy = 1.0000). A 60-scenario cross-discipline ablation increases blocking from 0/60 to 26/60 when the validator is enabled (+0.4333 absolute), with the strongest signal concentrated in piping-vessel nozzle-margin coupling (22 of 26 detections), and a 50-query retrieval benchmark improves Recall@1 from 0.4400 to 0.7400 (paired-bootstrap 95% CI on the +0.30 delta: [+0.14, +0.48]; n=50, 1000 resamples) and MRR@10 from 0.5744 to 0.7933 (paired CI: [+0.09, +0.35]) over plain BM25; Recall@3 and Recall@5 each gain +0.12 with paired CIs that include zero ([−0.02, +0.26]) and are therefore not statistically distinguishable from zero on this benchmark. Three case studies — including SA-106 piping in sour-chloride service — demonstrate that the KOSHA RAG layer surfaces Korean-jurisdiction obligations such as Article 256 of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where ASME/API calculations clear without flag. Under the prevailing industry baseline (</w:t>
      </w:r>
      <w:r>
        <w:t xml:space="preserve">“ASME/API pass = compliance complete”</w:t>
      </w:r>
      <w:r>
        <w:t xml:space="preserve">), the same three cases yield 0/3 detections, while the proposed system yields 3/3. We position the framework as a</w:t>
      </w:r>
      <w:r>
        <w:t xml:space="preserve"> </w:t>
      </w:r>
      <w:r>
        <w:rPr>
          <w:b/>
          <w:bCs/>
        </w:rPr>
        <w:t xml:space="preserve">compliance co-pilot</w:t>
      </w:r>
      <w:r>
        <w:t xml:space="preserve"> </w:t>
      </w:r>
      <w:r>
        <w:t xml:space="preserve">for HAZOP, RBI, and digital-twin workflows, not a replacement, and define the</w:t>
      </w:r>
      <w:r>
        <w:t xml:space="preserve"> </w:t>
      </w:r>
      <w:r>
        <w:rPr>
          <w:b/>
          <w:bCs/>
        </w:rPr>
        <w:t xml:space="preserve">jurisdiction compliance gap</w:t>
      </w:r>
      <w:r>
        <w:t xml:space="preserve"> </w:t>
      </w:r>
      <w:r>
        <w:t xml:space="preserve">as the structural space between international code compliance and Korean PSM regulatory fulfilment. Code, datasets, and the index manifest are released under AGPL-3.0.</w:t>
      </w:r>
    </w:p>
    <w:p>
      <w:pPr>
        <w:pStyle w:val="BodyText"/>
      </w:pPr>
      <w:r>
        <w:rPr>
          <w:b/>
          <w:bCs/>
        </w:rPr>
        <w:t xml:space="preserve">Keywords:</w:t>
      </w:r>
      <w:r>
        <w:t xml:space="preserve"> </w:t>
      </w:r>
      <w:r>
        <w:t xml:space="preserve">KOSHA RAG · process safety management · process plant engineering · multi-discipline verification · jurisdiction compliance gap · large language model · regulatory compliance</w:t>
      </w:r>
    </w:p>
    <w:p>
      <w:r>
        <w:pict>
          <v:rect style="width:0;height:1.5pt" o:hralign="center" o:hrstd="t" o:hr="t"/>
        </w:pict>
      </w:r>
    </w:p>
    <w:bookmarkEnd w:id="9"/>
    <w:bookmarkStart w:id="13" w:name="introduction"/>
    <w:p>
      <w:pPr>
        <w:pStyle w:val="Heading2"/>
      </w:pPr>
      <w:r>
        <w:t xml:space="preserve">1. Introduction</w:t>
      </w:r>
    </w:p>
    <w:p>
      <w:pPr>
        <w:pStyle w:val="FirstParagraph"/>
      </w:pPr>
      <w:r>
        <w:t xml:space="preserve">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sour-chloride service can pass ASME B31.3 minimum-wall and API 570 inspection-interval checks while still being non-compliant with Article 256 of the Korean</w:t>
      </w:r>
      <w:r>
        <w:t xml:space="preserve"> </w:t>
      </w:r>
      <w:r>
        <w:rPr>
          <w:i/>
          <w:iCs/>
        </w:rPr>
        <w:t xml:space="preserve">Rules on Occupational Safety and Health Standards</w:t>
      </w:r>
      <w:r>
        <w:t xml:space="preserve">.</w:t>
      </w:r>
    </w:p>
    <w:p>
      <w:pPr>
        <w:pStyle w:val="BodyText"/>
      </w:pPr>
      <w:r>
        <w:t xml:space="preserve">Korean plants subject to the</w:t>
      </w:r>
      <w:r>
        <w:t xml:space="preserve"> </w:t>
      </w:r>
      <w:r>
        <w:rPr>
          <w:i/>
          <w:iCs/>
        </w:rPr>
        <w:t xml:space="preserve">Chemical Substances Control Act</w:t>
      </w:r>
      <w:r>
        <w:t xml:space="preserve"> </w:t>
      </w:r>
      <w:r>
        <w:t xml:space="preserve">and the</w:t>
      </w:r>
      <w:r>
        <w:t xml:space="preserve"> </w:t>
      </w:r>
      <w:r>
        <w:rPr>
          <w:i/>
          <w:iCs/>
        </w:rPr>
        <w:t xml:space="preserve">Occupational Safety and Health Act</w:t>
      </w:r>
      <w:r>
        <w:t xml:space="preserve"> </w:t>
      </w:r>
      <w:r>
        <w:t xml:space="preserve">must comply with the Process Safety Management (PSM) framework administered by the Korea Occupational Safety and Health Agency (KOSHA), which imposes jurisdiction-specific procedural, documentation, and inspection-trigger obligations. To date, no published study has systematically integrated the KOSHA regulatory corpus into an engineering AI verification system that also performs the underlying ASME/API calculations.</w:t>
      </w:r>
    </w:p>
    <w:p>
      <w:pPr>
        <w:pStyle w:val="BodyText"/>
      </w:pPr>
      <w:r>
        <w:t xml:space="preserve">This study addresses the following two research questions:</w:t>
      </w:r>
    </w:p>
    <w:p>
      <w:pPr>
        <w:pStyle w:val="BodyText"/>
      </w:pP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ody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BodyText"/>
      </w:pPr>
      <w:r>
        <w:t xml:space="preserve">The contributions of this paper are as follows. First, we propose a verification architecture that integrates seven engineering disciplines into a single orchestration pipeline and automatically detects coupling hazards across ten predefined domain pairs, with empirical validation strongest in piping-vessel coupling and exploratory in the remaining pairs. Second, we present a methodology for integrating a KOSHA public-API regulatory corpus into engineering AI verification — to our knowledge, the first such system. Third, we construct a quantitative evaluation framework comprising 220 synthetic golden cases, a 60-scenario cross-discipline ablation, a 50-query curated regulatory retrieval benchmark, and an industry-baseline comparison (</w:t>
      </w:r>
      <w:r>
        <w:t xml:space="preserve">“ASME/API pass = compliance complete”</w:t>
      </w:r>
      <w:r>
        <w:t xml:space="preserve">) on three representative case studies;</w:t>
      </w:r>
      <w:r>
        <w:t xml:space="preserve"> </w:t>
      </w:r>
      <w:r>
        <w:rPr>
          <w:b/>
          <w:bCs/>
        </w:rPr>
        <w:t xml:space="preserve">Appendix A complements this synthetic evidence with a real-plant data-sheet validation case (VES-REAL-001, anonymised cryogenic flare knockout drum)</w:t>
      </w:r>
      <w:r>
        <w:t xml:space="preserve"> </w:t>
      </w:r>
      <w:r>
        <w:t xml:space="preserve">so that the framework is demonstrated end-to-end on actual EPC design data and not on synthetic inputs alone. Fourth, we formalise the</w:t>
      </w:r>
      <w:r>
        <w:t xml:space="preserve"> </w:t>
      </w:r>
      <w:r>
        <w:rPr>
          <w:b/>
          <w:bCs/>
        </w:rPr>
        <w:t xml:space="preserve">jurisdiction compliance gap</w:t>
      </w:r>
      <w:r>
        <w:t xml:space="preserve"> </w:t>
      </w:r>
      <w:r>
        <w:t xml:space="preserve">as a defined construct and position the system as a compliance co-pilot to HAZOP, RBI, and digital-twin workflows — not a replacement. Code and datasets are released under AGPL-3.0.</w:t>
      </w:r>
    </w:p>
    <w:p>
      <w:pPr>
        <w:pStyle w:val="BodyText"/>
      </w:pPr>
      <w:r>
        <w:rPr>
          <w:b/>
          <w:bCs/>
        </w:rPr>
        <w:t xml:space="preserve">Scope statement.</w:t>
      </w:r>
      <w:r>
        <w:t xml:space="preserve"> </w:t>
      </w:r>
      <w:r>
        <w:t xml:space="preserve">The architecture described in §3 spans seven engineering disciplines and four verification layers; this is the</w:t>
      </w:r>
      <w:r>
        <w:t xml:space="preserve"> </w:t>
      </w:r>
      <w:r>
        <w:rPr>
          <w:b/>
          <w:bCs/>
        </w:rPr>
        <w:t xml:space="preserve">framework scope</w:t>
      </w:r>
      <w:r>
        <w:t xml:space="preserve">. The empirical evidence presented in §6 covers a subset — the</w:t>
      </w:r>
      <w:r>
        <w:t xml:space="preserve"> </w:t>
      </w:r>
      <w:r>
        <w:rPr>
          <w:b/>
          <w:bCs/>
        </w:rPr>
        <w:t xml:space="preserve">validated scope</w:t>
      </w:r>
      <w:r>
        <w:t xml:space="preserve"> </w:t>
      </w:r>
      <w:r>
        <w:t xml:space="preserve">— concentrated in piping-vessel coupling (22 of 26 ablation detections); electrical-rotating, civil-rotating, instrumentation, and structural pairs are exercised at a more exploratory level. The two scopes are separated throughout the paper to avoid the impression that empirical validation has covered the full architecture uniformly.</w:t>
      </w:r>
    </w:p>
    <w:p>
      <w:pPr>
        <w:pStyle w:val="CaptionedFigure"/>
      </w:pPr>
      <w:r>
        <w:drawing>
          <wp:inline>
            <wp:extent cx="5334000" cy="2315482"/>
            <wp:effectExtent b="0" l="0" r="0" t="0"/>
            <wp:docPr descr="Figure 1. Overall system architecture: orchestrator, seven domain calculation services with shared four-layer verification, cross-discipline validator, and KOSHA Regulatory RAG layer with on-premises LLM." title="" id="11" name="Picture"/>
            <a:graphic>
              <a:graphicData uri="http://schemas.openxmlformats.org/drawingml/2006/picture">
                <pic:pic>
                  <pic:nvPicPr>
                    <pic:cNvPr descr="figures/fig_1_system_architecture.png" id="12" name="Picture"/>
                    <pic:cNvPicPr>
                      <a:picLocks noChangeArrowheads="1" noChangeAspect="1"/>
                    </pic:cNvPicPr>
                  </pic:nvPicPr>
                  <pic:blipFill>
                    <a:blip r:embed="rId10"/>
                    <a:stretch>
                      <a:fillRect/>
                    </a:stretch>
                  </pic:blipFill>
                  <pic:spPr bwMode="auto">
                    <a:xfrm>
                      <a:off x="0" y="0"/>
                      <a:ext cx="5334000" cy="2315482"/>
                    </a:xfrm>
                    <a:prstGeom prst="rect">
                      <a:avLst/>
                    </a:prstGeom>
                    <a:noFill/>
                    <a:ln w="9525">
                      <a:noFill/>
                      <a:headEnd/>
                      <a:tailEnd/>
                    </a:ln>
                  </pic:spPr>
                </pic:pic>
              </a:graphicData>
            </a:graphic>
          </wp:inline>
        </w:drawing>
      </w:r>
    </w:p>
    <w:p>
      <w:pPr>
        <w:pStyle w:val="ImageCaption"/>
      </w:pPr>
      <w:r>
        <w:t xml:space="preserve">Figure 1. Overall system architecture: orchestrator, seven domain calculation services with shared four-layer verification, cross-discipline validator, and KOSHA Regulatory RAG layer with on-premises LLM.</w:t>
      </w:r>
    </w:p>
    <w:p>
      <w:r>
        <w:pict>
          <v:rect style="width:0;height:1.5pt" o:hralign="center" o:hrstd="t" o:hr="t"/>
        </w:pict>
      </w:r>
    </w:p>
    <w:bookmarkEnd w:id="13"/>
    <w:bookmarkStart w:id="20" w:name="related-work"/>
    <w:p>
      <w:pPr>
        <w:pStyle w:val="Heading2"/>
      </w:pPr>
      <w:r>
        <w:t xml:space="preserve">2. Related Work</w:t>
      </w:r>
    </w:p>
    <w:bookmarkStart w:id="14" w:name="ai-applications-in-process-safety"/>
    <w:p>
      <w:pPr>
        <w:pStyle w:val="Heading3"/>
      </w:pPr>
      <w:r>
        <w:t xml:space="preserve">2.1 AI Applications in Process Safety</w:t>
      </w:r>
    </w:p>
    <w:p>
      <w:pPr>
        <w:pStyle w:val="FirstParagraph"/>
      </w:pPr>
      <w:r>
        <w:t xml:space="preserve">Large language models are increasingly studied for chemical process design, optimisation, and maintenance knowledge extraction. Selvam et al. (2026) [1]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[2] survey LLM applications in process systems engineering across chemical process design, hybrid process modelling, and autonomous control systems, but do not address seven-discipline integrated engineering verification or KOSHA regulatory RAG. Elhosary et al. (2024) [3] propose an LLM-assisted HAZOP system using RAG and vector search to retrieve historical incidents and guide analysis sessions, but the system is limited to single-process analysis and does not integrate multi-discipline calculation verification. Walavalkar et al. (2021) [4] systematically review more than one hundred ML and deep learning applications in chemical health and safety, covering exposure and risk assessment, but do not treat RAG-based regulatory grounding or multi-discipline engineering verification architectures.</w:t>
      </w:r>
    </w:p>
    <w:bookmarkEnd w:id="14"/>
    <w:bookmarkStart w:id="15" w:name="rag-in-technical-and-regulatory-domains"/>
    <w:p>
      <w:pPr>
        <w:pStyle w:val="Heading3"/>
      </w:pPr>
      <w:r>
        <w:t xml:space="preserve">2.2 RAG in Technical and Regulatory Domains</w:t>
      </w:r>
    </w:p>
    <w:p>
      <w:pPr>
        <w:pStyle w:val="FirstParagraph"/>
      </w:pPr>
      <w:r>
        <w:t xml:space="preserve">The foundational RAG architecture of Lewis et al. (2020) [5], surveyed by Gao et al. (2024) [15], targets general knowledge-intensive NLP tasks; the present work specialises this architecture for a KOSHA regulatory corpus integrated with domain-level engineering calculation context. Walker et al. (2026) [6] propose</w:t>
      </w:r>
      <w:r>
        <w:t xml:space="preserve"> </w:t>
      </w:r>
      <w:r>
        <w:rPr>
          <w:b/>
          <w:bCs/>
        </w:rPr>
        <w:t xml:space="preserve">RAGuard</w:t>
      </w:r>
      <w:r>
        <w:t xml:space="preserve">,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[7] provide an enterprise RAG survey and identify</w:t>
      </w:r>
      <w:r>
        <w:t xml:space="preserve"> </w:t>
      </w:r>
      <w:r>
        <w:t xml:space="preserve">“how RAG-based systems can fulfil regulatory requirements”</w:t>
      </w:r>
      <w:r>
        <w:t xml:space="preserve"> </w:t>
      </w:r>
      <w:r>
        <w:t xml:space="preserve">as an open research direction, but leave actual regulatory corpus construction and engineering-calculation integration unexplored.</w:t>
      </w:r>
    </w:p>
    <w:bookmarkEnd w:id="15"/>
    <w:bookmarkStart w:id="16" w:name="X0fc09801f25ed2983f70be59186bb1e62c66345"/>
    <w:p>
      <w:pPr>
        <w:pStyle w:val="Heading3"/>
      </w:pPr>
      <w:r>
        <w:t xml:space="preserve">2.3 Multi-Discipline Maintenance and Asset Integrity</w:t>
      </w:r>
    </w:p>
    <w:p>
      <w:pPr>
        <w:pStyle w:val="FirstParagraph"/>
      </w:pPr>
      <w:r>
        <w:t xml:space="preserve">AI-based asset integrity management frameworks for offshore oil-and-gas pipelines [8] focus on single-asset scope and do not cover electrical, instrumentation, or structural disciplines. Hector and Panjanathan (2024) [9] survey IoT-enabled predictive maintenance planning models in Industry 4.0 but do not address standards-based calculation engines or regulatory RAG integration. Ait-Alla et al. (2022) [10] provide an overview of predictive maintenance workflows in Industry 4.0, without process-plant-specific seven-discipline integrated verification or PSM regulatory linkage.</w:t>
      </w:r>
    </w:p>
    <w:bookmarkEnd w:id="16"/>
    <w:bookmarkStart w:id="17" w:name="X5eeafd4ea8b7058369770114167c978a808e744"/>
    <w:p>
      <w:pPr>
        <w:pStyle w:val="Heading3"/>
      </w:pPr>
      <w:r>
        <w:t xml:space="preserve">2.4 Verification Methodology — N-Version Programming and K-Voting</w:t>
      </w:r>
    </w:p>
    <w:p>
      <w:pPr>
        <w:pStyle w:val="FirstParagraph"/>
      </w:pPr>
      <w:r>
        <w:t xml:space="preserve">The N-version programming literature originating with Avizienis (1985) [11]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p>
    <w:bookmarkEnd w:id="17"/>
    <w:bookmarkStart w:id="18" w:name="korean-psm-regulation-and-kosha"/>
    <w:p>
      <w:pPr>
        <w:pStyle w:val="Heading3"/>
      </w:pPr>
      <w:r>
        <w:t xml:space="preserve">2.5 Korean PSM Regulation and KOSHA</w:t>
      </w:r>
    </w:p>
    <w:p>
      <w:pPr>
        <w:pStyle w:val="FirstParagraph"/>
      </w:pPr>
      <w:r>
        <w:t xml:space="preserve">Korean plants subject to the</w:t>
      </w:r>
      <w:r>
        <w:t xml:space="preserve"> </w:t>
      </w:r>
      <w:r>
        <w:rPr>
          <w:i/>
          <w:iCs/>
        </w:rPr>
        <w:t xml:space="preserve">Chemical Substances Control Act</w:t>
      </w:r>
      <w:r>
        <w:t xml:space="preserve"> </w:t>
      </w:r>
      <w:r>
        <w:t xml:space="preserve">and the</w:t>
      </w:r>
      <w:r>
        <w:t xml:space="preserve"> </w:t>
      </w:r>
      <w:r>
        <w:rPr>
          <w:i/>
          <w:iCs/>
        </w:rPr>
        <w:t xml:space="preserve">Occupational Safety and Health Act</w:t>
      </w:r>
      <w:r>
        <w:t xml:space="preserve"> </w:t>
      </w:r>
      <w:r>
        <w:t xml:space="preserve">must fulfil regular safety review obligations for pressure equipment, rotating machinery, electrical systems, and structures under the KOSHA PSM framework. Kim et al. (2022) [12] apply text mining to 1,300 KOSHA accident case reports for multi-cause accident classification, and Lee and Ahn (2025) [13]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[14]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p>
    <w:bookmarkEnd w:id="18"/>
    <w:bookmarkStart w:id="19" w:name="X03437619b635eb74f113d63efdeb1c92547e787"/>
    <w:p>
      <w:pPr>
        <w:pStyle w:val="Heading3"/>
      </w:pPr>
      <w:r>
        <w:t xml:space="preserve">2.6 Position relative to HAZOP, RBI, and Digital Twin</w:t>
      </w:r>
    </w:p>
    <w:p>
      <w:pPr>
        <w:pStyle w:val="FirstParagraph"/>
      </w:pPr>
      <w:r>
        <w:t xml:space="preserve">The proposed framework is intentionally complementary to — not a replacement for — established process-safety methods.</w:t>
      </w:r>
      <w:r>
        <w:t xml:space="preserve"> </w:t>
      </w:r>
      <w:r>
        <w:rPr>
          <w:b/>
          <w:bCs/>
        </w:rPr>
        <w:t xml:space="preserve">HAZOP</w:t>
      </w:r>
      <w:r>
        <w:t xml:space="preserve"> </w:t>
      </w:r>
      <w:r>
        <w:t xml:space="preserve">identifies process deviations through expert-led, multidisciplinary workshops;</w:t>
      </w:r>
      <w:r>
        <w:t xml:space="preserve"> </w:t>
      </w:r>
      <w:r>
        <w:rPr>
          <w:b/>
          <w:bCs/>
        </w:rPr>
        <w:t xml:space="preserve">RBI (Risk-Based Inspection)</w:t>
      </w:r>
      <w:r>
        <w:t xml:space="preserve"> </w:t>
      </w:r>
      <w:r>
        <w:t xml:space="preserve">optimises inspection strategy from equipment degradation models;</w:t>
      </w:r>
      <w:r>
        <w:t xml:space="preserve"> </w:t>
      </w:r>
      <w:r>
        <w:rPr>
          <w:b/>
          <w:bCs/>
        </w:rPr>
        <w:t xml:space="preserve">Digital Twins</w:t>
      </w:r>
      <w:r>
        <w:t xml:space="preserve"> </w:t>
      </w:r>
      <w:r>
        <w:t xml:space="preserve">maintain a live or near-live mirror of plant state. None of these methods natively encodes jurisdiction-specific statutory obligations. The present system fills that gap as a</w:t>
      </w:r>
      <w:r>
        <w:t xml:space="preserve"> </w:t>
      </w:r>
      <w:r>
        <w:rPr>
          <w:b/>
          <w:bCs/>
        </w:rPr>
        <w:t xml:space="preserve">compliance co-pilot</w:t>
      </w:r>
      <w:r>
        <w:t xml:space="preserve"> </w:t>
      </w:r>
      <w:r>
        <w:t xml:space="preserve">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p>
    <w:p>
      <w:r>
        <w:pict>
          <v:rect style="width:0;height:1.5pt" o:hralign="center" o:hrstd="t" o:hr="t"/>
        </w:pict>
      </w:r>
    </w:p>
    <w:bookmarkEnd w:id="19"/>
    <w:bookmarkEnd w:id="20"/>
    <w:bookmarkStart w:id="21" w:name="system-architecture"/>
    <w:p>
      <w:pPr>
        <w:pStyle w:val="Heading2"/>
      </w:pPr>
      <w:r>
        <w:t xml:space="preserve">3. System Architecture</w:t>
      </w:r>
    </w:p>
    <w:p>
      <w:pPr>
        <w:pStyle w:val="FirstParagraph"/>
      </w:pPr>
      <w:r>
        <w:t xml:space="preserve">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w:t>
      </w:r>
      <w:r>
        <w:rPr>
          <w:rStyle w:val="VerbatimChar"/>
        </w:rPr>
        <w:t xml:space="preserve">src/orchestrator/pipeline.py</w:t>
      </w:r>
      <w:r>
        <w:t xml:space="preserve">,</w:t>
      </w:r>
      <w:r>
        <w:t xml:space="preserve"> </w:t>
      </w:r>
      <w:r>
        <w:rPr>
          <w:rStyle w:val="VerbatimChar"/>
        </w:rPr>
        <w:t xml:space="preserve">src/orchestrator/state_machine.py</w:t>
      </w:r>
      <w:r>
        <w:t xml:space="preserve">). Each domain service follows an identical four-layer verification structure (</w:t>
      </w:r>
      <w:r>
        <w:rPr>
          <w:rStyle w:val="VerbatimChar"/>
        </w:rPr>
        <w:t xml:space="preserve">src/services/&lt;discipline&gt;_service.py</w:t>
      </w:r>
      <w:r>
        <w:t xml:space="preserve">). Calculation outputs are passed to the cross-discipline validator (</w:t>
      </w:r>
      <w:r>
        <w:rPr>
          <w:rStyle w:val="VerbatimChar"/>
        </w:rPr>
        <w:t xml:space="preserve">src/cross_discipline/validator.py</w:t>
      </w:r>
      <w:r>
        <w:t xml:space="preserve">) for coupling hazard analysis across ten predefined domain pairs. The KOSHA RAG layer (</w:t>
      </w:r>
      <w:r>
        <w:rPr>
          <w:rStyle w:val="VerbatimChar"/>
        </w:rPr>
        <w:t xml:space="preserve">src/rag/local_kosha_rag.py</w:t>
      </w:r>
      <w:r>
        <w:t xml:space="preserve">) translates the domain calculation context into a Korean natural-language query, retrieves relevant regulatory passages from a local SQLite FTS5 index, and uses an on-premises Qwen 2.5 7B Instruct model (</w:t>
      </w:r>
      <w:r>
        <w:rPr>
          <w:rStyle w:val="VerbatimChar"/>
        </w:rPr>
        <w:t xml:space="preserve">qwen2.5:7b-instruct</w:t>
      </w:r>
      <w:r>
        <w:t xml:space="preserve">, 4-bit quantisation, 32,768-token context window) to generate structured regulatory grounding covering key conclusions, regulatory justification, and practical advisories. The final output is an integrated report containing calculation numerics, verification-layer status, KOSHA regulatory grounding, and a full audit trail. No external data transmission occurs at any stage; all inference runs locally via Ollama. End-to-end pipeline latency, measured on a commodity AMD CPU (</w:t>
      </w:r>
      <w:r>
        <w:rPr>
          <w:rStyle w:val="VerbatimChar"/>
        </w:rPr>
        <w:t xml:space="preserve">outputs/pipeline_latency.md</w:t>
      </w:r>
      <w:r>
        <w:t xml:space="preserve">), is approximately 0.06 ms median per discipline for the deterministic stack (Layers 1–4) and 1.15 ms median for KOSHA RAG top-10 retrieval; the on-premises Qwen-family generation step adds approximately 42 s median, dominating end-to-end latency when full LLM grounding is requested. The deterministic core is fast enough to run inline during a design-review session; LLM grounding is appropriately scheduled as a batch step.</w:t>
      </w:r>
    </w:p>
    <w:p>
      <w:r>
        <w:pict>
          <v:rect style="width:0;height:1.5pt" o:hralign="center" o:hrstd="t" o:hr="t"/>
        </w:pict>
      </w:r>
    </w:p>
    <w:bookmarkEnd w:id="21"/>
    <w:bookmarkStart w:id="29" w:name="kosha-regulatory-knowledge-layer"/>
    <w:p>
      <w:pPr>
        <w:pStyle w:val="Heading2"/>
      </w:pPr>
      <w:r>
        <w:t xml:space="preserve">4. KOSHA Regulatory Knowledge Layer</w:t>
      </w:r>
    </w:p>
    <w:bookmarkStart w:id="25" w:name="corpus-construction"/>
    <w:p>
      <w:pPr>
        <w:pStyle w:val="Heading3"/>
      </w:pPr>
      <w:r>
        <w:t xml:space="preserve">4.1 Corpus Construction</w:t>
      </w:r>
    </w:p>
    <w:p>
      <w:pPr>
        <w:pStyle w:val="FirstParagraph"/>
      </w:pPr>
      <w:r>
        <w:t xml:space="preserve">The KOSHA regulatory corpus was assembled from two public APIs of the Korean</w:t>
      </w:r>
      <w:r>
        <w:t xml:space="preserve"> </w:t>
      </w:r>
      <w:r>
        <w:rPr>
          <w:i/>
          <w:iCs/>
        </w:rPr>
        <w:t xml:space="preserve">Open Data Portal</w:t>
      </w:r>
      <w:r>
        <w:t xml:space="preserve"> </w:t>
      </w:r>
      <w:r>
        <w:t xml:space="preserve">(</w:t>
      </w:r>
      <w:r>
        <w:rPr>
          <w:rStyle w:val="VerbatimChar"/>
        </w:rPr>
        <w:t xml:space="preserve">data.go.kr</w:t>
      </w:r>
      <w:r>
        <w:t xml:space="preserve">). The KOSHA smart-search endpoint (</w:t>
      </w:r>
      <w:r>
        <w:rPr>
          <w:rStyle w:val="VerbatimChar"/>
        </w:rPr>
        <w:t xml:space="preserve">/B552468/srch/smartSearch</w:t>
      </w:r>
      <w:r>
        <w:t xml:space="preserve">) was used to harvest</w:t>
      </w:r>
      <w:r>
        <w:t xml:space="preserve"> </w:t>
      </w:r>
      <w:r>
        <w:rPr>
          <w:b/>
          <w:bCs/>
        </w:rPr>
        <w:t xml:space="preserve">18,576</w:t>
      </w:r>
      <w:r>
        <w:t xml:space="preserve"> </w:t>
      </w:r>
      <w:r>
        <w:t xml:space="preserve">rows of guide-section and statutory-provision metadata across ten categories — categories 1–9 and 11; category 10 is unused by the KOSHA Smart-search API and therefore omitted by construction. The harvest comprises</w:t>
      </w:r>
      <w:r>
        <w:t xml:space="preserve"> </w:t>
      </w:r>
      <w:r>
        <w:rPr>
          <w:b/>
          <w:bCs/>
        </w:rPr>
        <w:t xml:space="preserve">1,327 guide documents (9,069 sections)</w:t>
      </w:r>
      <w:r>
        <w:t xml:space="preserve"> </w:t>
      </w:r>
      <w:r>
        <w:t xml:space="preserve">and</w:t>
      </w:r>
      <w:r>
        <w:t xml:space="preserve"> </w:t>
      </w:r>
      <w:r>
        <w:rPr>
          <w:b/>
          <w:bCs/>
        </w:rPr>
        <w:t xml:space="preserve">3,102 statutory-provision rows</w:t>
      </w:r>
      <w:r>
        <w:t xml:space="preserve"> </w:t>
      </w:r>
      <w:r>
        <w:t xml:space="preserve">(</w:t>
      </w:r>
      <w:r>
        <w:rPr>
          <w:rStyle w:val="VerbatimChar"/>
        </w:rPr>
        <w:t xml:space="preserve">datasets/kosha/manifest.json</w:t>
      </w:r>
      <w:r>
        <w:t xml:space="preserve">). The KOSHA Guide PDF endpoint was used to download</w:t>
      </w:r>
      <w:r>
        <w:t xml:space="preserve"> </w:t>
      </w:r>
      <w:r>
        <w:rPr>
          <w:b/>
          <w:bCs/>
        </w:rPr>
        <w:t xml:space="preserve">1,039</w:t>
      </w:r>
      <w:r>
        <w:t xml:space="preserve"> </w:t>
      </w:r>
      <w:r>
        <w:t xml:space="preserve">technical guideline PDFs, which were parsed page-by-page, segmented into</w:t>
      </w:r>
      <w:r>
        <w:t xml:space="preserve"> </w:t>
      </w:r>
      <w:r>
        <w:rPr>
          <w:b/>
          <w:bCs/>
        </w:rPr>
        <w:t xml:space="preserve">13,084</w:t>
      </w:r>
      <w:r>
        <w:t xml:space="preserve"> </w:t>
      </w:r>
      <w:r>
        <w:t xml:space="preserve">retrieval-optimised chunks, and normalised. After parsing and indexing, the SQLite FTS5 index used at retrieval time retains</w:t>
      </w:r>
      <w:r>
        <w:t xml:space="preserve"> </w:t>
      </w:r>
      <w:r>
        <w:rPr>
          <w:b/>
          <w:bCs/>
        </w:rPr>
        <w:t xml:space="preserve">16,174 searchable rows = 13,084 guide chunks + 3,090 indexed law-article entries</w:t>
      </w:r>
      <w:r>
        <w:t xml:space="preserve">. Twelve law-article rows were excluded by</w:t>
      </w:r>
      <w:r>
        <w:t xml:space="preserve"> </w:t>
      </w:r>
      <w:r>
        <w:rPr>
          <w:rStyle w:val="VerbatimChar"/>
        </w:rPr>
        <w:t xml:space="preserve">src/rag/local_kosha_rag.py:185</w:t>
      </w:r>
      <w:r>
        <w:t xml:space="preserve"> </w:t>
      </w:r>
      <w:r>
        <w:t xml:space="preserve">because their</w:t>
      </w:r>
      <w:r>
        <w:t xml:space="preserve"> </w:t>
      </w:r>
      <w:r>
        <w:rPr>
          <w:rStyle w:val="VerbatimChar"/>
        </w:rPr>
        <w:t xml:space="preserve">content</w:t>
      </w:r>
      <w:r>
        <w:t xml:space="preserve"> </w:t>
      </w:r>
      <w:r>
        <w:t xml:space="preserve">field was empty in the source API response. Triage of these twelve (</w:t>
      </w:r>
      <w:r>
        <w:rPr>
          <w:rStyle w:val="VerbatimChar"/>
        </w:rPr>
        <w:t xml:space="preserve">outputs/kosha_missing_articles_report.md</w:t>
      </w:r>
      <w:r>
        <w:t xml:space="preserve">) shows that</w:t>
      </w:r>
      <w:r>
        <w:t xml:space="preserve"> </w:t>
      </w:r>
      <w:r>
        <w:rPr>
          <w:b/>
          <w:bCs/>
        </w:rPr>
        <w:t xml:space="preserve">four are repealed (</w:t>
      </w:r>
      <w:r>
        <w:rPr>
          <w:rStyle w:val="VerbatimChar"/>
          <w:b/>
          <w:bCs/>
        </w:rPr>
        <w:t xml:space="preserve">삭제</w:t>
      </w:r>
      <w:r>
        <w:rPr>
          <w:b/>
          <w:bCs/>
        </w:rPr>
        <w:t xml:space="preserve">) provisions</w:t>
      </w:r>
      <w:r>
        <w:t xml:space="preserve"> </w:t>
      </w:r>
      <w:r>
        <w:t xml:space="preserve">for which an empty body is expected and the row is correctly excluded; the remaining</w:t>
      </w:r>
      <w:r>
        <w:t xml:space="preserve"> </w:t>
      </w:r>
      <w:r>
        <w:rPr>
          <w:b/>
          <w:bCs/>
        </w:rPr>
        <w:t xml:space="preserve">eight require a JS-rendered re-fetch from the National Law Information Center</w:t>
      </w:r>
      <w:r>
        <w:t xml:space="preserve"> </w:t>
      </w:r>
      <w:r>
        <w:t xml:space="preserve">(</w:t>
      </w:r>
      <w:r>
        <w:rPr>
          <w:rStyle w:val="VerbatimChar"/>
        </w:rPr>
        <w:t xml:space="preserve">law.go.kr/lsScJoRltInfoR.do</w:t>
      </w:r>
      <w:r>
        <w:t xml:space="preserve"> </w:t>
      </w:r>
      <w:r>
        <w:t xml:space="preserve">is a single-page-application shell; KOSHA Smart-search retrieval by</w:t>
      </w:r>
      <w:r>
        <w:t xml:space="preserve"> </w:t>
      </w:r>
      <w:r>
        <w:rPr>
          <w:rStyle w:val="VerbatimChar"/>
        </w:rPr>
        <w:t xml:space="preserve">doc_id</w:t>
      </w:r>
      <w:r>
        <w:t xml:space="preserve"> </w:t>
      </w:r>
      <w:r>
        <w:t xml:space="preserve">returns no hits for these specific records). The pending eight are documented as Limitation 6 (§8). The resulting database is approximately 200 MB.</w:t>
      </w:r>
    </w:p>
    <w:p>
      <w:pPr>
        <w:pStyle w:val="CaptionedFigure"/>
      </w:pPr>
      <w:r>
        <w:drawing>
          <wp:inline>
            <wp:extent cx="5334000" cy="7135986"/>
            <wp:effectExtent b="0" l="0" r="0" t="0"/>
            <wp:docPr descr="Figure 2. Regulatory RAG workflow: calculation context to concept-aware Korean query construction, BM25 FTS5 retrieval with synonym expansion and OR fallback, structured grounding generation with citation indices." title="" id="23" name="Picture"/>
            <a:graphic>
              <a:graphicData uri="http://schemas.openxmlformats.org/drawingml/2006/picture">
                <pic:pic>
                  <pic:nvPicPr>
                    <pic:cNvPr descr="figures/fig_2_rag_workflow.png" id="24" name="Picture"/>
                    <pic:cNvPicPr>
                      <a:picLocks noChangeArrowheads="1" noChangeAspect="1"/>
                    </pic:cNvPicPr>
                  </pic:nvPicPr>
                  <pic:blipFill>
                    <a:blip r:embed="rId22"/>
                    <a:stretch>
                      <a:fillRect/>
                    </a:stretch>
                  </pic:blipFill>
                  <pic:spPr bwMode="auto">
                    <a:xfrm>
                      <a:off x="0" y="0"/>
                      <a:ext cx="5334000" cy="7135986"/>
                    </a:xfrm>
                    <a:prstGeom prst="rect">
                      <a:avLst/>
                    </a:prstGeom>
                    <a:noFill/>
                    <a:ln w="9525">
                      <a:noFill/>
                      <a:headEnd/>
                      <a:tailEnd/>
                    </a:ln>
                  </pic:spPr>
                </pic:pic>
              </a:graphicData>
            </a:graphic>
          </wp:inline>
        </w:drawing>
      </w:r>
    </w:p>
    <w:p>
      <w:pPr>
        <w:pStyle w:val="ImageCaption"/>
      </w:pPr>
      <w:r>
        <w:t xml:space="preserve">Figure 2. Regulatory RAG workflow: calculation context to concept-aware Korean query construction, BM25 FTS5 retrieval with synonym expansion and OR fallback, structured grounding generation with citation indices.</w:t>
      </w:r>
    </w:p>
    <w:bookmarkEnd w:id="25"/>
    <w:bookmarkStart w:id="26" w:name="retrieval-and-generation-pipeline"/>
    <w:p>
      <w:pPr>
        <w:pStyle w:val="Heading3"/>
      </w:pPr>
      <w:r>
        <w:t xml:space="preserve">4.2 Retrieval and Generation Pipeline</w:t>
      </w:r>
    </w:p>
    <w:p>
      <w:pPr>
        <w:pStyle w:val="FirstParagraph"/>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w:t>
      </w:r>
    </w:p>
    <w:p>
      <w:pPr>
        <w:pStyle w:val="BodyText"/>
      </w:pPr>
      <w:r>
        <w:t xml:space="preserve">Retrieved passages (top-k = 10 by default) are passed to Qwen 2.5 7B Instruct with a system prompt that constrains the output to three sections: (1)</w:t>
      </w:r>
      <w:r>
        <w:t xml:space="preserve"> </w:t>
      </w:r>
      <w:r>
        <w:rPr>
          <w:b/>
          <w:bCs/>
        </w:rPr>
        <w:t xml:space="preserve">Key conclusion</w:t>
      </w:r>
      <w:r>
        <w:t xml:space="preserve">, (2)</w:t>
      </w:r>
      <w:r>
        <w:t xml:space="preserve"> </w:t>
      </w:r>
      <w:r>
        <w:rPr>
          <w:b/>
          <w:bCs/>
        </w:rPr>
        <w:t xml:space="preserve">Regulatory justification summary</w:t>
      </w:r>
      <w:r>
        <w:t xml:space="preserve"> </w:t>
      </w:r>
      <w:r>
        <w:t xml:space="preserve">referencing each retrieved passage by index, and (3)</w:t>
      </w:r>
      <w:r>
        <w:t xml:space="preserve"> </w:t>
      </w:r>
      <w:r>
        <w:rPr>
          <w:b/>
          <w:bCs/>
        </w:rPr>
        <w:t xml:space="preserve">Practical advisories</w:t>
      </w:r>
      <w:r>
        <w:t xml:space="preserve"> </w:t>
      </w:r>
      <w:r>
        <w:t xml:space="preserve">with citation indices.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 (Section 6.7). The current implementation uses BM25 to support CPU-only on-premises deployment without GPU resources; transition to semantic vector search in GPU-capable environments is left as future work (Section 8).</w:t>
      </w:r>
    </w:p>
    <w:bookmarkEnd w:id="26"/>
    <w:bookmarkStart w:id="27" w:name="X7029d79f95dce95bd609e8bf1990f8bc0f33d89"/>
    <w:p>
      <w:pPr>
        <w:pStyle w:val="Heading3"/>
      </w:pPr>
      <w:r>
        <w:t xml:space="preserve">4.3 KOSHA Regulatory Grounding — Mandatory vs Guidance</w:t>
      </w:r>
    </w:p>
    <w:p>
      <w:pPr>
        <w:pStyle w:val="FirstParagraph"/>
      </w:pPr>
      <w:r>
        <w:t xml:space="preserve">KOSHA-derived obligations differ in legal force.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FirstParagraph"/>
      </w:pPr>
      <w:r>
        <w:t xml:space="preserve">Each retrieved passage carries this label as</w:t>
      </w:r>
      <w:r>
        <w:t xml:space="preserve"> </w:t>
      </w:r>
      <w:r>
        <w:rPr>
          <w:rStyle w:val="VerbatimChar"/>
        </w:rPr>
        <w:t xml:space="preserve">metadata.regulatory_class</w:t>
      </w:r>
      <w:r>
        <w:t xml:space="preserve"> </w:t>
      </w:r>
      <w:r>
        <w:t xml:space="preserve">so downstream displays and reports can prioritise mandatory items (Table 5). The labels are derived from</w:t>
      </w:r>
      <w:r>
        <w:t xml:space="preserve"> </w:t>
      </w:r>
      <w:r>
        <w:rPr>
          <w:rStyle w:val="VerbatimChar"/>
        </w:rPr>
        <w:t xml:space="preserve">source_type</w:t>
      </w:r>
      <w:r>
        <w:t xml:space="preserve"> </w:t>
      </w:r>
      <w:r>
        <w:t xml:space="preserve">in the parsing pipeline (</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 and are not inferred by the LLM.</w:t>
      </w:r>
    </w:p>
    <w:bookmarkEnd w:id="27"/>
    <w:bookmarkStart w:id="28" w:name="X2ca3c0ef4e05820ff6e3026e541e9f305df9211"/>
    <w:p>
      <w:pPr>
        <w:pStyle w:val="Heading3"/>
      </w:pPr>
      <w:r>
        <w:t xml:space="preserve">4.4 Why standard EPC workflows do not cover these obligations</w:t>
      </w:r>
    </w:p>
    <w:p>
      <w:pPr>
        <w:pStyle w:val="FirstParagraph"/>
      </w:pPr>
      <w:r>
        <w:t xml:space="preserve">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w:t>
      </w:r>
      <w:r>
        <w:t xml:space="preserve"> </w:t>
      </w:r>
      <w:r>
        <w:rPr>
          <w:i/>
          <w:iCs/>
        </w:rPr>
        <w:t xml:space="preserve">Rules on Occupational Safety and Health Standards</w:t>
      </w:r>
      <w:r>
        <w:t xml:space="preserve"> </w:t>
      </w:r>
      <w:r>
        <w:t xml:space="preserve">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r>
        <w:pict>
          <v:rect style="width:0;height:1.5pt" o:hralign="center" o:hrstd="t" o:hr="t"/>
        </w:pict>
      </w:r>
    </w:p>
    <w:bookmarkEnd w:id="28"/>
    <w:bookmarkEnd w:id="29"/>
    <w:bookmarkStart w:id="37" w:name="X05961d0007a6793ac375959d695db63ea004385"/>
    <w:p>
      <w:pPr>
        <w:pStyle w:val="Heading2"/>
      </w:pPr>
      <w:r>
        <w:t xml:space="preserve">5. Seven-Domain Calculation Engines and Four-Layer Verification</w:t>
      </w:r>
    </w:p>
    <w:bookmarkStart w:id="30" w:name="domain-calculation-engines"/>
    <w:p>
      <w:pPr>
        <w:pStyle w:val="Heading3"/>
      </w:pPr>
      <w:r>
        <w:t xml:space="preserve">5.1 Domain Calculation Engines</w:t>
      </w:r>
    </w:p>
    <w:p>
      <w:pPr>
        <w:pStyle w:val="FirstParagraph"/>
      </w:pPr>
      <w:r>
        <w:t xml:space="preserve">The seven domain calculation engines implement the standards listed in Table 1. Engine source files are under</w:t>
      </w:r>
      <w:r>
        <w:t xml:space="preserve"> </w:t>
      </w:r>
      <w:r>
        <w:rPr>
          <w:rStyle w:val="VerbatimChar"/>
        </w:rPr>
        <w:t xml:space="preserve">src/services/&lt;discipline&gt;_service.py</w:t>
      </w:r>
      <w:r>
        <w:t xml:space="preserve">; per-engine standard mappings and citation tables are in</w:t>
      </w:r>
      <w:r>
        <w:t xml:space="preserve"> </w:t>
      </w:r>
      <w:r>
        <w:rPr>
          <w:rStyle w:val="VerbatimChar"/>
        </w:rPr>
        <w:t xml:space="preserve">src/standards/</w:t>
      </w:r>
      <w:r>
        <w:t xml:space="preserve">.</w:t>
      </w:r>
    </w:p>
    <w:p>
      <w:pPr>
        <w:pStyle w:val="BodyText"/>
      </w:pPr>
      <w:r>
        <w:rPr>
          <w:b/>
          <w:bCs/>
        </w:rPr>
        <w:t xml:space="preserve">Table 1. Domain Calculation Engines and Standards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Implementation</w:t>
            </w:r>
          </w:p>
        </w:tc>
      </w:tr>
      <w:tr>
        <w:tc>
          <w:tcPr/>
          <w:p>
            <w:pPr>
              <w:pStyle w:val="Compact"/>
            </w:pPr>
            <w:r>
              <w:t xml:space="preserve">Piping</w:t>
            </w:r>
          </w:p>
        </w:tc>
        <w:tc>
          <w:tcPr/>
          <w:p>
            <w:pPr>
              <w:pStyle w:val="Compact"/>
            </w:pPr>
            <w:r>
              <w:t xml:space="preserve">ASME B31.3, API 570</w:t>
            </w:r>
          </w:p>
        </w:tc>
        <w:tc>
          <w:tcPr/>
          <w:p>
            <w:pPr>
              <w:pStyle w:val="Compact"/>
            </w:pPr>
            <w:r>
              <w:rPr>
                <w:rStyle w:val="VerbatimChar"/>
              </w:rPr>
              <w:t xml:space="preserve">src/services/piping_service.py</w:t>
            </w:r>
          </w:p>
        </w:tc>
      </w:tr>
      <w:tr>
        <w:tc>
          <w:tcPr/>
          <w:p>
            <w:pPr>
              <w:pStyle w:val="Compact"/>
            </w:pPr>
            <w:r>
              <w:t xml:space="preserve">Pressure Vessels</w:t>
            </w:r>
          </w:p>
        </w:tc>
        <w:tc>
          <w:tcPr/>
          <w:p>
            <w:pPr>
              <w:pStyle w:val="Compact"/>
            </w:pPr>
            <w:r>
              <w:t xml:space="preserve">ASME Section VIII Div.1 (UG-27), API 510, API 579-1</w:t>
            </w:r>
          </w:p>
        </w:tc>
        <w:tc>
          <w:tcPr/>
          <w:p>
            <w:pPr>
              <w:pStyle w:val="Compact"/>
            </w:pPr>
            <w:r>
              <w:rPr>
                <w:rStyle w:val="VerbatimChar"/>
              </w:rPr>
              <w:t xml:space="preserve">src/services/vessel_service.py</w:t>
            </w:r>
          </w:p>
        </w:tc>
      </w:tr>
      <w:tr>
        <w:tc>
          <w:tcPr/>
          <w:p>
            <w:pPr>
              <w:pStyle w:val="Compact"/>
            </w:pPr>
            <w:r>
              <w:t xml:space="preserve">Rotating Equipment</w:t>
            </w:r>
          </w:p>
        </w:tc>
        <w:tc>
          <w:tcPr/>
          <w:p>
            <w:pPr>
              <w:pStyle w:val="Compact"/>
            </w:pPr>
            <w:r>
              <w:t xml:space="preserve">API 610, 617, 670</w:t>
            </w:r>
          </w:p>
        </w:tc>
        <w:tc>
          <w:tcPr/>
          <w:p>
            <w:pPr>
              <w:pStyle w:val="Compact"/>
            </w:pPr>
            <w:r>
              <w:rPr>
                <w:rStyle w:val="VerbatimChar"/>
              </w:rPr>
              <w:t xml:space="preserve">src/services/rotating_service.py</w:t>
            </w:r>
          </w:p>
        </w:tc>
      </w:tr>
      <w:tr>
        <w:tc>
          <w:tcPr/>
          <w:p>
            <w:pPr>
              <w:pStyle w:val="Compact"/>
            </w:pPr>
            <w:r>
              <w:t xml:space="preserve">Electrical</w:t>
            </w:r>
          </w:p>
        </w:tc>
        <w:tc>
          <w:tcPr/>
          <w:p>
            <w:pPr>
              <w:pStyle w:val="Compact"/>
            </w:pPr>
            <w:r>
              <w:t xml:space="preserve">IEEE C57.104, IEEE 1584-2018</w:t>
            </w:r>
          </w:p>
        </w:tc>
        <w:tc>
          <w:tcPr/>
          <w:p>
            <w:pPr>
              <w:pStyle w:val="Compact"/>
            </w:pPr>
            <w:r>
              <w:rPr>
                <w:rStyle w:val="VerbatimChar"/>
              </w:rPr>
              <w:t xml:space="preserve">src/services/electrical_service.py</w:t>
            </w:r>
          </w:p>
        </w:tc>
      </w:tr>
      <w:tr>
        <w:tc>
          <w:tcPr/>
          <w:p>
            <w:pPr>
              <w:pStyle w:val="Compact"/>
            </w:pPr>
            <w:r>
              <w:t xml:space="preserve">Instrumentation</w:t>
            </w:r>
          </w:p>
        </w:tc>
        <w:tc>
          <w:tcPr/>
          <w:p>
            <w:pPr>
              <w:pStyle w:val="Compact"/>
            </w:pPr>
            <w:r>
              <w:t xml:space="preserve">IEC 61511, ISA-TR84.00.02</w:t>
            </w:r>
          </w:p>
        </w:tc>
        <w:tc>
          <w:tcPr/>
          <w:p>
            <w:pPr>
              <w:pStyle w:val="Compact"/>
            </w:pPr>
            <w:r>
              <w:rPr>
                <w:rStyle w:val="VerbatimChar"/>
              </w:rPr>
              <w:t xml:space="preserve">src/services/instrumentation_service.py</w:t>
            </w:r>
          </w:p>
        </w:tc>
      </w:tr>
      <w:tr>
        <w:tc>
          <w:tcPr/>
          <w:p>
            <w:pPr>
              <w:pStyle w:val="Compact"/>
            </w:pPr>
            <w:r>
              <w:t xml:space="preserve">Structural Steel</w:t>
            </w:r>
          </w:p>
        </w:tc>
        <w:tc>
          <w:tcPr/>
          <w:p>
            <w:pPr>
              <w:pStyle w:val="Compact"/>
            </w:pPr>
            <w:r>
              <w:t xml:space="preserve">AISC 360</w:t>
            </w:r>
          </w:p>
        </w:tc>
        <w:tc>
          <w:tcPr/>
          <w:p>
            <w:pPr>
              <w:pStyle w:val="Compact"/>
            </w:pPr>
            <w:r>
              <w:rPr>
                <w:rStyle w:val="VerbatimChar"/>
              </w:rPr>
              <w:t xml:space="preserve">src/services/steel_service.py</w:t>
            </w:r>
          </w:p>
        </w:tc>
      </w:tr>
      <w:tr>
        <w:tc>
          <w:tcPr/>
          <w:p>
            <w:pPr>
              <w:pStyle w:val="Compact"/>
            </w:pPr>
            <w:r>
              <w:t xml:space="preserve">Civil / Concrete</w:t>
            </w:r>
          </w:p>
        </w:tc>
        <w:tc>
          <w:tcPr/>
          <w:p>
            <w:pPr>
              <w:pStyle w:val="Compact"/>
            </w:pPr>
            <w:r>
              <w:t xml:space="preserve">ACI 318, ACI 562</w:t>
            </w:r>
          </w:p>
        </w:tc>
        <w:tc>
          <w:tcPr/>
          <w:p>
            <w:pPr>
              <w:pStyle w:val="Compact"/>
            </w:pPr>
            <w:r>
              <w:rPr>
                <w:rStyle w:val="VerbatimChar"/>
              </w:rPr>
              <w:t xml:space="preserve">src/services/civil_service.py</w:t>
            </w:r>
          </w:p>
        </w:tc>
      </w:tr>
    </w:tbl>
    <w:p>
      <w:pPr>
        <w:pStyle w:val="BodyText"/>
      </w:pPr>
      <w:r>
        <w:t xml:space="preserve">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w:t>
      </w:r>
      <w:r>
        <w:rPr>
          <w:rStyle w:val="VerbatimChar"/>
        </w:rPr>
        <w:t xml:space="preserve">src/orchestrator/state_machine.py</w:t>
      </w:r>
      <w:r>
        <w:t xml:space="preserve">), which routes a request to one or more discipline services and then to the cross-discipline validator.</w:t>
      </w:r>
    </w:p>
    <w:bookmarkEnd w:id="30"/>
    <w:bookmarkStart w:id="31" w:name="four-layer-hybrid-verification-model"/>
    <w:p>
      <w:pPr>
        <w:pStyle w:val="Heading3"/>
      </w:pPr>
      <w:r>
        <w:t xml:space="preserve">5.2 Four-Layer Hybrid Verification Model</w:t>
      </w:r>
    </w:p>
    <w:p>
      <w:pPr>
        <w:pStyle w:val="FirstParagraph"/>
      </w:pPr>
      <w:r>
        <w:rPr>
          <w:b/>
          <w:bCs/>
        </w:rPr>
        <w:t xml:space="preserve">Layer 1 — Input Validation.</w:t>
      </w:r>
      <w:r>
        <w:t xml:space="preserve"> </w:t>
      </w:r>
      <w:r>
        <w:t xml:space="preserve">Checks mandatory field presence, unit-contract compliance (every numerical field carries an explicit unit such as</w:t>
      </w:r>
      <w:r>
        <w:t xml:space="preserve"> </w:t>
      </w:r>
      <w:r>
        <w:rPr>
          <w:rStyle w:val="VerbatimChar"/>
        </w:rPr>
        <w:t xml:space="preserve">MPa</w:t>
      </w:r>
      <w:r>
        <w:t xml:space="preserve">,</w:t>
      </w:r>
      <w:r>
        <w:t xml:space="preserve"> </w:t>
      </w:r>
      <w:r>
        <w:rPr>
          <w:rStyle w:val="VerbatimChar"/>
        </w:rPr>
        <w:t xml:space="preserve">mm</w:t>
      </w:r>
      <w:r>
        <w:t xml:space="preserve">,</w:t>
      </w:r>
      <w:r>
        <w:t xml:space="preserve"> </w:t>
      </w:r>
      <w:r>
        <w:rPr>
          <w:rStyle w:val="VerbatimChar"/>
        </w:rPr>
        <w:t xml:space="preserve">°C</w:t>
      </w:r>
      <w:r>
        <w:t xml:space="preserve">), and domain-specific range constraints (e.g., design pressure within ASME Section II material allowable). Missing critical fields or unit inconsistencies trigger a blocking error that prevents downstream calculation.</w:t>
      </w:r>
    </w:p>
    <w:p>
      <w:pPr>
        <w:pStyle w:val="BodyText"/>
      </w:pPr>
      <w:r>
        <w:rPr>
          <w:b/>
          <w:bCs/>
        </w:rPr>
        <w:t xml:space="preserve">Layer 2 — K-Voting Consensus.</w:t>
      </w:r>
      <w:r>
        <w:t xml:space="preserve"> </w:t>
      </w:r>
      <w:r>
        <w:t xml:space="preserve">Three calculation paths execute in parallel, each using deliberately varied numerical strategies — rounding order, interpolation method, and intermediate-precision handling. The maximum relative deviation among outputs must not exceed</w:t>
      </w:r>
      <w:r>
        <w:t xml:space="preserve"> </w:t>
      </w:r>
      <w:r>
        <w:rPr>
          <w:b/>
          <w:bCs/>
        </w:rPr>
        <w:t xml:space="preserve">1%</w:t>
      </w:r>
      <w:r>
        <w:t xml:space="preserve">. If the threshold is exceeded, a tiebreaker path is invoked; persistent consensus failure raises a</w:t>
      </w:r>
      <w:r>
        <w:t xml:space="preserve"> </w:t>
      </w:r>
      <w:r>
        <w:rPr>
          <w:rStyle w:val="VerbatimChar"/>
        </w:rPr>
        <w:t xml:space="preserve">no_consensus</w:t>
      </w:r>
      <w:r>
        <w:t xml:space="preserve"> </w:t>
      </w:r>
      <w:r>
        <w:t xml:space="preserve">flag and requests human review. The mechanism is motivated by the N-version programming principle [11] but is restricted to numerical-consistency verification rather than full implementation independence; design rationale and threshold sensitivity are discussed in §5.4.</w:t>
      </w:r>
    </w:p>
    <w:p>
      <w:pPr>
        <w:pStyle w:val="BodyText"/>
      </w:pPr>
      <w:r>
        <w:rPr>
          <w:b/>
          <w:bCs/>
        </w:rPr>
        <w:t xml:space="preserve">Layer 3 — Physics and Code Compliance.</w:t>
      </w:r>
      <w:r>
        <w:t xml:space="preserve"> </w:t>
      </w:r>
      <w:r>
        <w:t xml:space="preserve">Domain-specific red flags are enforced. For example, a measured thickness below the computed minimum required thickness raises a critical physics flag and blocks output. All major calculation steps carry explicit standard citations, persisted in the audit trail.</w:t>
      </w:r>
    </w:p>
    <w:p>
      <w:pPr>
        <w:pStyle w:val="BodyText"/>
      </w:pPr>
      <w:r>
        <w:rPr>
          <w:b/>
          <w:bCs/>
        </w:rPr>
        <w:t xml:space="preserve">Layer 4 — Reverse Verification.</w:t>
      </w:r>
      <w:r>
        <w:t xml:space="preserve"> </w:t>
      </w:r>
      <w:r>
        <w:t xml:space="preserve">Key inputs are back-calculated from outputs and compared against the original inputs to verify internal consistency. A deviation exceeding</w:t>
      </w:r>
      <w:r>
        <w:t xml:space="preserve"> </w:t>
      </w:r>
      <w:r>
        <w:rPr>
          <w:b/>
          <w:bCs/>
        </w:rPr>
        <w:t xml:space="preserve">2% triggers a warning</w:t>
      </w:r>
      <w:r>
        <w:t xml:space="preserve">; a deviation exceeding</w:t>
      </w:r>
      <w:r>
        <w:t xml:space="preserve"> </w:t>
      </w:r>
      <w:r>
        <w:rPr>
          <w:b/>
          <w:bCs/>
        </w:rPr>
        <w:t xml:space="preserve">5% triggers escalation</w:t>
      </w:r>
      <w:r>
        <w:t xml:space="preserve"> </w:t>
      </w:r>
      <w:r>
        <w:t xml:space="preserve">with a confidence downgrade and a full audit trail entry.</w:t>
      </w:r>
    </w:p>
    <w:bookmarkEnd w:id="31"/>
    <w:bookmarkStart w:id="35" w:name="cross-discipline-consistency-validator"/>
    <w:p>
      <w:pPr>
        <w:pStyle w:val="Heading3"/>
      </w:pPr>
      <w:r>
        <w:t xml:space="preserve">5.3 Cross-Discipline Consistency Validator</w:t>
      </w:r>
    </w:p>
    <w:p>
      <w:pPr>
        <w:pStyle w:val="FirstParagraph"/>
      </w:pPr>
      <w:r>
        <w:t xml:space="preserve">The cross-discipline validator (</w:t>
      </w:r>
      <w:r>
        <w:rPr>
          <w:rStyle w:val="VerbatimChar"/>
        </w:rPr>
        <w:t xml:space="preserve">src/cross_discipline/validator.py</w:t>
      </w:r>
      <w:r>
        <w:t xml:space="preserve">) performs coupling checks across</w:t>
      </w:r>
      <w:r>
        <w:t xml:space="preserve"> </w:t>
      </w:r>
      <w:r>
        <w:rPr>
          <w:b/>
          <w:bCs/>
        </w:rPr>
        <w:t xml:space="preserve">ten predefined domain pairs</w:t>
      </w:r>
      <w:r>
        <w:t xml:space="preserve">,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w:t>
      </w:r>
      <w:r>
        <w:t xml:space="preserve"> </w:t>
      </w:r>
      <w:r>
        <w:rPr>
          <w:rStyle w:val="VerbatimChar"/>
        </w:rPr>
        <w:t xml:space="preserve">docs/specs/MASTER_ORCHESTRATOR_SPEC_V0.1.md</w:t>
      </w:r>
      <w:r>
        <w:t xml:space="preserve">. Extension to additional pairs is deferred to future work.</w:t>
      </w:r>
    </w:p>
    <w:p>
      <w:pPr>
        <w:pStyle w:val="CaptionedFigure"/>
      </w:pPr>
      <w:r>
        <w:drawing>
          <wp:inline>
            <wp:extent cx="5334000" cy="4844417"/>
            <wp:effectExtent b="0" l="0" r="0" t="0"/>
            <wp:docPr descr="Figure 3. Cross-discipline coupling logic: ten predefined domain pairs (piping-vessel, electrical-rotating, civil-rotating, instrumentation-electrical, etc.), trigger conditions, and downstream effect of a coupling-block decision on the orchestration pipeline." title="" id="33" name="Picture"/>
            <a:graphic>
              <a:graphicData uri="http://schemas.openxmlformats.org/drawingml/2006/picture">
                <pic:pic>
                  <pic:nvPicPr>
                    <pic:cNvPr descr="figures/fig_3_cross_discipline.png" id="34" name="Picture"/>
                    <pic:cNvPicPr>
                      <a:picLocks noChangeArrowheads="1" noChangeAspect="1"/>
                    </pic:cNvPicPr>
                  </pic:nvPicPr>
                  <pic:blipFill>
                    <a:blip r:embed="rId32"/>
                    <a:stretch>
                      <a:fillRect/>
                    </a:stretch>
                  </pic:blipFill>
                  <pic:spPr bwMode="auto">
                    <a:xfrm>
                      <a:off x="0" y="0"/>
                      <a:ext cx="5334000" cy="4844417"/>
                    </a:xfrm>
                    <a:prstGeom prst="rect">
                      <a:avLst/>
                    </a:prstGeom>
                    <a:noFill/>
                    <a:ln w="9525">
                      <a:noFill/>
                      <a:headEnd/>
                      <a:tailEnd/>
                    </a:ln>
                  </pic:spPr>
                </pic:pic>
              </a:graphicData>
            </a:graphic>
          </wp:inline>
        </w:drawing>
      </w:r>
    </w:p>
    <w:p>
      <w:pPr>
        <w:pStyle w:val="ImageCaption"/>
      </w:pPr>
      <w:r>
        <w:t xml:space="preserve">Figure 3. Cross-discipline coupling logic: ten predefined domain pairs (piping-vessel, electrical-rotating, civil-rotating, instrumentation-electrical, etc.), trigger conditions, and downstream effect of a coupling-block decision on the orchestration pipeline.</w:t>
      </w:r>
    </w:p>
    <w:bookmarkEnd w:id="35"/>
    <w:bookmarkStart w:id="36" w:name="X277b93143ee5153eebad0708a65badeefbca556"/>
    <w:p>
      <w:pPr>
        <w:pStyle w:val="Heading3"/>
      </w:pPr>
      <w:r>
        <w:t xml:space="preserve">5.4 Why three paths and a 1% tolerance? — K-voting design rationale</w:t>
      </w:r>
    </w:p>
    <w:p>
      <w:pPr>
        <w:pStyle w:val="FirstParagraph"/>
      </w:pPr>
      <w:r>
        <w:t xml:space="preserve">Three K-voting design choices warrant explicit justification: the</w:t>
      </w:r>
      <w:r>
        <w:t xml:space="preserve"> </w:t>
      </w:r>
      <w:r>
        <w:rPr>
          <w:b/>
          <w:bCs/>
        </w:rPr>
        <w:t xml:space="preserve">number of paths</w:t>
      </w:r>
      <w:r>
        <w:t xml:space="preserve">, the</w:t>
      </w:r>
      <w:r>
        <w:t xml:space="preserve"> </w:t>
      </w:r>
      <w:r>
        <w:rPr>
          <w:b/>
          <w:bCs/>
        </w:rPr>
        <w:t xml:space="preserve">tolerance</w:t>
      </w:r>
      <w:r>
        <w:t xml:space="preserve">, and the</w:t>
      </w:r>
      <w:r>
        <w:t xml:space="preserve"> </w:t>
      </w:r>
      <w:r>
        <w:rPr>
          <w:b/>
          <w:bCs/>
        </w:rPr>
        <w:t xml:space="preserve">scope</w:t>
      </w:r>
      <w:r>
        <w:t xml:space="preserve"> </w:t>
      </w:r>
      <w:r>
        <w:t xml:space="preserve">of independence.</w:t>
      </w:r>
    </w:p>
    <w:p>
      <w:pPr>
        <w:pStyle w:val="Body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in [11].</w:t>
      </w:r>
    </w:p>
    <w:p>
      <w:pPr>
        <w:pStyle w:val="Body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A formal threshold-sensitivity sweep (e.g., 0.1% / 0.5% / 1% / 2% / 5% reporting no-consensus rate, false-consensus rate, and boundary-flip count) is left to future work.</w:t>
      </w:r>
    </w:p>
    <w:p>
      <w:pPr>
        <w:pStyle w:val="Body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that the layer’s scope and intent are unambiguous in the broader context of N-version programming [11].</w:t>
      </w:r>
    </w:p>
    <w:p>
      <w:r>
        <w:pict>
          <v:rect style="width:0;height:1.5pt" o:hralign="center" o:hrstd="t" o:hr="t"/>
        </w:pict>
      </w:r>
    </w:p>
    <w:bookmarkEnd w:id="36"/>
    <w:bookmarkEnd w:id="37"/>
    <w:bookmarkStart w:id="55" w:name="experiments-and-evaluation"/>
    <w:p>
      <w:pPr>
        <w:pStyle w:val="Heading2"/>
      </w:pPr>
      <w:r>
        <w:t xml:space="preserve">6. Experiments and Evaluation</w:t>
      </w:r>
    </w:p>
    <w:p>
      <w:pPr>
        <w:pStyle w:val="FirstParagraph"/>
      </w:pPr>
      <w:r>
        <w:t xml:space="preserve">The evaluation programme comprises seven analyses: (6.1) calculation-accuracy verification on the golden dataset, framed as</w:t>
      </w:r>
      <w:r>
        <w:t xml:space="preserve"> </w:t>
      </w:r>
      <w:r>
        <w:rPr>
          <w:b/>
          <w:bCs/>
        </w:rPr>
        <w:t xml:space="preserve">implementation verification, not predictive validation</w:t>
      </w:r>
      <w:r>
        <w:t xml:space="preserve">; (6.2) end-to-end pipeline behaviour; (6.3) cross-discipline ablation for RQ1; (6.4) KOSHA RAG case studies for RQ2; (6.5) curated retrieval benchmark; (6.6) industry-baseline comparison and internal four-layer ablation; (6.7) citation-traceability and negative-case evidence.</w:t>
      </w:r>
    </w:p>
    <w:bookmarkStart w:id="38" w:name="X2aee7f63a168e529a118604bfa3005e861d688e"/>
    <w:p>
      <w:pPr>
        <w:pStyle w:val="Heading3"/>
      </w:pPr>
      <w:r>
        <w:t xml:space="preserve">6.1 Calculation Accuracy on the Golden Dataset (implementation verification)</w:t>
      </w:r>
    </w:p>
    <w:p>
      <w:pPr>
        <w:pStyle w:val="FirstParagraph"/>
      </w:pPr>
      <w:r>
        <w:t xml:space="preserve">A total of</w:t>
      </w:r>
      <w:r>
        <w:t xml:space="preserve"> </w:t>
      </w:r>
      <w:r>
        <w:rPr>
          <w:b/>
          <w:bCs/>
        </w:rPr>
        <w:t xml:space="preserve">220 synthetic golden cases</w:t>
      </w:r>
      <w:r>
        <w:t xml:space="preserve"> </w:t>
      </w:r>
      <w:r>
        <w:t xml:space="preserve">were constructed across seven disciplines (Table 2): 55% standard cases, 25% boundary cases, 17% failure-mode cases, and 2% composite multi-condition cases. Each case was derived from reference calculation examples in the applicable standards [16, 17] (ASME, API, IEEE, IEC, ACI, AISC). Boundary and failure-mode cases were generated by</w:t>
      </w:r>
      <w:r>
        <w:t xml:space="preserve"> </w:t>
      </w:r>
      <w:r>
        <w:rPr>
          <w:b/>
          <w:bCs/>
        </w:rPr>
        <w:t xml:space="preserve">systematic parameter perturbation</w:t>
      </w:r>
      <w:r>
        <w:t xml:space="preserve"> </w:t>
      </w:r>
      <w:r>
        <w:t xml:space="preserve">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w:t>
      </w:r>
      <w:r>
        <w:t xml:space="preserve"> </w:t>
      </w:r>
      <w:r>
        <w:rPr>
          <w:b/>
          <w:bCs/>
        </w:rPr>
        <w:t xml:space="preserve">220/220 case passes across all seven disciplines</w:t>
      </w:r>
      <w:r>
        <w:t xml:space="preserve"> </w:t>
      </w:r>
      <w:r>
        <w:t xml:space="preserve">(</w:t>
      </w:r>
      <w:r>
        <w:rPr>
          <w:rStyle w:val="VerbatimChar"/>
        </w:rPr>
        <w:t xml:space="preserve">outputs/verification_report_runtime.md</w:t>
      </w:r>
      <w:r>
        <w:t xml:space="preserve">); accuracy, citation accuracy, and red-flag detection rate were each recorded at</w:t>
      </w:r>
      <w:r>
        <w:t xml:space="preserve"> </w:t>
      </w:r>
      <w:r>
        <w:rPr>
          <w:b/>
          <w:bCs/>
        </w:rPr>
        <w:t xml:space="preserve">1.0000</w:t>
      </w:r>
      <w:r>
        <w:t xml:space="preserve">.</w:t>
      </w:r>
    </w:p>
    <w:p>
      <w:pPr>
        <w:pStyle w:val="BodyText"/>
      </w:pPr>
      <w:r>
        <w:t xml:space="preserve">We deliberately frame these results as</w:t>
      </w:r>
      <w:r>
        <w:t xml:space="preserve"> </w:t>
      </w:r>
      <w:r>
        <w:rPr>
          <w:b/>
          <w:bCs/>
        </w:rPr>
        <w:t xml:space="preserve">implementation verification, not predictive validation</w:t>
      </w:r>
      <w:r>
        <w:t xml:space="preserve">,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odyText"/>
      </w:pPr>
      <w:r>
        <w:rPr>
          <w:b/>
          <w:bCs/>
        </w:rPr>
        <w:t xml:space="preserve">Table 2. Golden Dataset Composition by Discipline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 cases</w:t>
            </w:r>
          </w:p>
        </w:tc>
        <w:tc>
          <w:tcPr/>
          <w:p>
            <w:pPr>
              <w:pStyle w:val="Compact"/>
              <w:jc w:val="right"/>
            </w:pPr>
            <w:r>
              <w:t xml:space="preserve">Boundary cases</w:t>
            </w:r>
          </w:p>
        </w:tc>
        <w:tc>
          <w:tcPr/>
          <w:p>
            <w:pPr>
              <w:pStyle w:val="Compact"/>
              <w:jc w:val="right"/>
            </w:pPr>
            <w:r>
              <w:t xml:space="preserve">Failure cases</w:t>
            </w:r>
          </w:p>
        </w:tc>
        <w:tc>
          <w:tcPr/>
          <w:p>
            <w:pPr>
              <w:pStyle w:val="Compact"/>
              <w:jc w:val="right"/>
            </w:pPr>
            <w:r>
              <w:t xml:space="preserve">Composite cases</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pPr>
      <w:r>
        <w:rPr>
          <w:b/>
          <w:bCs/>
        </w:rPr>
        <w:t xml:space="preserve">Synthetic data — defence and precedent.</w:t>
      </w:r>
      <w:r>
        <w:t xml:space="preserve"> </w:t>
      </w:r>
      <w:r>
        <w:t xml:space="preserve">A synthetic-data evaluation invites the concern that the evaluator finds what the system was designed to find. Three properties limit that concern in this study. The test cases are</w:t>
      </w:r>
      <w:r>
        <w:t xml:space="preserve"> </w:t>
      </w:r>
      <w:r>
        <w:rPr>
          <w:i/>
          <w:iCs/>
        </w:rPr>
        <w:t xml:space="preserve">inverted</w:t>
      </w:r>
      <w:r>
        <w:t xml:space="preserve"> </w:t>
      </w:r>
      <w:r>
        <w:t xml:space="preserve">from the regulatory and standards text — each KOSHA RAG target was selected by reading the actual KOSHA clause first and then constructing a calculation context that should trigger it, so the detection grounds in real regulatory obligations even though the calc inputs are constructed. This construction pattern is established practice in safety-critical AI evaluation, including medical-AI synthetic patient cohorts with known ground-truth labels and simulated-scenario validation of autonomous-vehicle systems prior to public-road deployment. The evaluation is positioned as a</w:t>
      </w:r>
      <w:r>
        <w:t xml:space="preserve"> </w:t>
      </w:r>
      <w:r>
        <w:rPr>
          <w:b/>
          <w:bCs/>
        </w:rPr>
        <w:t xml:space="preserve">feasibility study</w:t>
      </w:r>
      <w:r>
        <w:t xml:space="preserve"> </w:t>
      </w:r>
      <w:r>
        <w:t xml:space="preserve">for the integration of calc + cross-discipline + KOSHA RAG; field validation against plant data is explicit future work.</w:t>
      </w:r>
    </w:p>
    <w:p>
      <w:pPr>
        <w:pStyle w:val="BodyText"/>
      </w:pPr>
      <w:r>
        <w:rPr>
          <w:b/>
          <w:bCs/>
        </w:rPr>
        <w:t xml:space="preserve">Benchmark construction independence — known limitation.</w:t>
      </w:r>
      <w:r>
        <w:t xml:space="preserve"> </w:t>
      </w:r>
      <w:r>
        <w:t xml:space="preserve">All synthetic case datasets in this paper (220 golden cases per §6.1, 60 cross-discipline scenarios per §6.3,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w:t>
      </w:r>
    </w:p>
    <w:bookmarkEnd w:id="38"/>
    <w:bookmarkStart w:id="39" w:name="seven-discipline-pipeline-evaluation"/>
    <w:p>
      <w:pPr>
        <w:pStyle w:val="Heading3"/>
      </w:pPr>
      <w:r>
        <w:t xml:space="preserve">6.2 Seven-Discipline Pipeline Evaluation</w:t>
      </w:r>
    </w:p>
    <w:p>
      <w:pPr>
        <w:pStyle w:val="FirstParagraph"/>
      </w:pPr>
      <w:r>
        <w:t xml:space="preserve">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w:t>
      </w:r>
      <w:r>
        <w:t xml:space="preserve"> </w:t>
      </w:r>
      <w:r>
        <w:rPr>
          <w:rStyle w:val="VerbatimChar"/>
        </w:rPr>
        <w:t xml:space="preserve">outputs/seven_pipeline_report.md</w:t>
      </w:r>
      <w:r>
        <w:t xml:space="preserve">, generated by</w:t>
      </w:r>
      <w:r>
        <w:t xml:space="preserve"> </w:t>
      </w:r>
      <w:r>
        <w:rPr>
          <w:rStyle w:val="VerbatimChar"/>
        </w:rPr>
        <w:t xml:space="preserve">scripts/benchmark_seven_pipeline.py</w:t>
      </w:r>
      <w:r>
        <w:t xml:space="preserve"> </w:t>
      </w:r>
      <w:r>
        <w:t xml:space="preserve">over the seven</w:t>
      </w:r>
      <w:r>
        <w:t xml:space="preserve"> </w:t>
      </w:r>
      <w:r>
        <w:rPr>
          <w:rStyle w:val="VerbatimChar"/>
        </w:rPr>
        <w:t xml:space="preserve">datasets/golden_standards/*_golden_dataset_v1.json</w:t>
      </w:r>
      <w:r>
        <w:t xml:space="preserve"> </w:t>
      </w:r>
      <w:r>
        <w:t xml:space="preserve">files; this 43-scenario set measures end-to-end pipeline behaviour and is</w:t>
      </w:r>
      <w:r>
        <w:t xml:space="preserve"> </w:t>
      </w:r>
      <w:r>
        <w:rPr>
          <w:b/>
          <w:bCs/>
        </w:rPr>
        <w:t xml:space="preserve">distinct from</w:t>
      </w:r>
      <w:r>
        <w:t xml:space="preserve"> </w:t>
      </w:r>
      <w:r>
        <w:t xml:space="preserve">the 60-scenario cross-discipline ablation set of §6.3, which is constructed by</w:t>
      </w:r>
      <w:r>
        <w:t xml:space="preserve"> </w:t>
      </w:r>
      <w:r>
        <w:rPr>
          <w:rStyle w:val="VerbatimChar"/>
        </w:rPr>
        <w:t xml:space="preserve">scripts/benchmark_cross_discipline_ablation.py</w:t>
      </w:r>
      <w:r>
        <w:t xml:space="preserve"> </w:t>
      </w:r>
      <w:r>
        <w:t xml:space="preserve">via the</w:t>
      </w:r>
      <w:r>
        <w:t xml:space="preserve"> </w:t>
      </w:r>
      <w:r>
        <w:rPr>
          <w:rStyle w:val="VerbatimChar"/>
        </w:rPr>
        <w:t xml:space="preserve">aligned_*</w:t>
      </w:r>
      <w:r>
        <w:t xml:space="preserve"> </w:t>
      </w:r>
      <w:r>
        <w:t xml:space="preserve">and</w:t>
      </w:r>
      <w:r>
        <w:t xml:space="preserve"> </w:t>
      </w:r>
      <w:r>
        <w:rPr>
          <w:rStyle w:val="VerbatimChar"/>
        </w:rPr>
        <w:t xml:space="preserve">mixed_*</w:t>
      </w:r>
      <w:r>
        <w:t xml:space="preserve"> </w:t>
      </w:r>
      <w:r>
        <w:t xml:space="preserve">index builders against the same underlying golden datasets.)</w:t>
      </w:r>
    </w:p>
    <w:bookmarkEnd w:id="39"/>
    <w:bookmarkStart w:id="43" w:name="cross-discipline-validator-ablation-rq1"/>
    <w:p>
      <w:pPr>
        <w:pStyle w:val="Heading3"/>
      </w:pPr>
      <w:r>
        <w:t xml:space="preserve">6.3 Cross-Discipline Validator Ablation (RQ1)</w:t>
      </w:r>
    </w:p>
    <w:p>
      <w:pPr>
        <w:pStyle w:val="FirstParagraph"/>
      </w:pPr>
      <w:r>
        <w:t xml:space="preserve">To quantify the incremental contribution of cross-discipline coupling logic, we evaluated the same 60 benchmark scenarios with the cross-discipline validator disabled and enabled (</w:t>
      </w:r>
      <w:r>
        <w:rPr>
          <w:rStyle w:val="VerbatimChar"/>
        </w:rPr>
        <w:t xml:space="preserve">outputs/cross_discipline_ablation_report.md</w:t>
      </w:r>
      <w:r>
        <w:t xml:space="preserve">). With the validator disabled,</w:t>
      </w:r>
      <w:r>
        <w:t xml:space="preserve"> </w:t>
      </w:r>
      <w:r>
        <w:rPr>
          <w:b/>
          <w:bCs/>
        </w:rPr>
        <w:t xml:space="preserve">0/60 scenarios were blocked</w:t>
      </w:r>
      <w:r>
        <w:t xml:space="preserve">. With the validator enabled,</w:t>
      </w:r>
      <w:r>
        <w:t xml:space="preserve"> </w:t>
      </w:r>
      <w:r>
        <w:rPr>
          <w:b/>
          <w:bCs/>
        </w:rPr>
        <w:t xml:space="preserve">26/60 scenarios were blocked</w:t>
      </w:r>
      <w:r>
        <w:t xml:space="preserve">, an absolute increase of +26 and a blocking-ratio increase of +0.4333. The most informative subsets are aligned boundary and aligned failure, where blocking rises from 0.0 to 1.0 in both cases. Mixed scenarios also show non-trivial deltas:</w:t>
      </w:r>
      <w:r>
        <w:t xml:space="preserve"> </w:t>
      </w:r>
      <w:r>
        <w:rPr>
          <w:rStyle w:val="VerbatimChar"/>
        </w:rPr>
        <w:t xml:space="preserve">mixed_first20</w:t>
      </w:r>
      <w:r>
        <w:t xml:space="preserve"> </w:t>
      </w:r>
      <w:r>
        <w:t xml:space="preserve">rises from 0.0 to 0.15, and</w:t>
      </w:r>
      <w:r>
        <w:t xml:space="preserve"> </w:t>
      </w:r>
      <w:r>
        <w:rPr>
          <w:rStyle w:val="VerbatimChar"/>
        </w:rPr>
        <w:t xml:space="preserve">mixed_random20</w:t>
      </w:r>
      <w:r>
        <w:t xml:space="preserve"> </w:t>
      </w:r>
      <w:r>
        <w:t xml:space="preserve">rises from 0.0 to 0.65.</w:t>
      </w:r>
    </w:p>
    <w:p>
      <w:pPr>
        <w:pStyle w:val="BodyText"/>
      </w:pPr>
      <w:r>
        <w:rPr>
          <w:b/>
          <w:bCs/>
        </w:rPr>
        <w:t xml:space="preserve">Table 3. Cross-Discipline Validator Ablation (RQ1)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13 / 20</w:t>
            </w:r>
          </w:p>
        </w:tc>
        <w:tc>
          <w:tcPr/>
          <w:p>
            <w:pPr>
              <w:pStyle w:val="Compact"/>
              <w:jc w:val="right"/>
            </w:pPr>
            <w:r>
              <w:t xml:space="preserve">+13</w:t>
            </w:r>
          </w:p>
        </w:tc>
        <w:tc>
          <w:tcPr/>
          <w:p>
            <w:pPr>
              <w:pStyle w:val="Compact"/>
              <w:jc w:val="right"/>
            </w:pPr>
            <w:r>
              <w:t xml:space="preserve">+0.65</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26 / 60</w:t>
            </w:r>
          </w:p>
        </w:tc>
        <w:tc>
          <w:tcPr/>
          <w:p>
            <w:pPr>
              <w:pStyle w:val="Compact"/>
              <w:jc w:val="right"/>
            </w:pPr>
            <w:r>
              <w:rPr>
                <w:b/>
                <w:bCs/>
              </w:rPr>
              <w:t xml:space="preserve">+26</w:t>
            </w:r>
          </w:p>
        </w:tc>
        <w:tc>
          <w:tcPr/>
          <w:p>
            <w:pPr>
              <w:pStyle w:val="Compact"/>
              <w:jc w:val="right"/>
            </w:pPr>
            <w:r>
              <w:rPr>
                <w:b/>
                <w:bCs/>
              </w:rPr>
              <w:t xml:space="preserve">+0.4333</w:t>
            </w:r>
          </w:p>
        </w:tc>
      </w:tr>
    </w:tbl>
    <w:p>
      <w:pPr>
        <w:pStyle w:val="CaptionedFigure"/>
      </w:pPr>
      <w:r>
        <w:drawing>
          <wp:inline>
            <wp:extent cx="5334000" cy="3138223"/>
            <wp:effectExtent b="0" l="0" r="0" t="0"/>
            <wp:docPr descr="Figure 4. Cross-discipline ablation (60 scenarios): blocked counts by scenario set, validator OFF vs ON. Total rises 0 → 26 (+43.3%); aligned-boundary and aligned-failure subsets rise from 0/n to n/n; mixed sets show partial coverage proportional to coupling density." title="" id="41" name="Picture"/>
            <a:graphic>
              <a:graphicData uri="http://schemas.openxmlformats.org/drawingml/2006/picture">
                <pic:pic>
                  <pic:nvPicPr>
                    <pic:cNvPr descr="figures/fig_4_ablation.png" id="42" name="Picture"/>
                    <pic:cNvPicPr>
                      <a:picLocks noChangeArrowheads="1" noChangeAspect="1"/>
                    </pic:cNvPicPr>
                  </pic:nvPicPr>
                  <pic:blipFill>
                    <a:blip r:embed="rId40"/>
                    <a:stretch>
                      <a:fillRect/>
                    </a:stretch>
                  </pic:blipFill>
                  <pic:spPr bwMode="auto">
                    <a:xfrm>
                      <a:off x="0" y="0"/>
                      <a:ext cx="5334000" cy="3138223"/>
                    </a:xfrm>
                    <a:prstGeom prst="rect">
                      <a:avLst/>
                    </a:prstGeom>
                    <a:noFill/>
                    <a:ln w="9525">
                      <a:noFill/>
                      <a:headEnd/>
                      <a:tailEnd/>
                    </a:ln>
                  </pic:spPr>
                </pic:pic>
              </a:graphicData>
            </a:graphic>
          </wp:inline>
        </w:drawing>
      </w:r>
    </w:p>
    <w:p>
      <w:pPr>
        <w:pStyle w:val="ImageCaption"/>
      </w:pPr>
      <w: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ody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t xml:space="preserve">Other</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ody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 The remaining 4 detections are split between electrical-rotating bearing-health coupling (IEEE C57.104 voltage distortion propagating to API 670 bearing-health thresholds) and civil-rotating foundation coupling (ACI 318 settlement margins below the rotating-equipment alignment tolerance derived from API 610). The skew toward piping-vessel coupling reflects the construction of the 60-scenario set rather than a property of the validator; expanding the scenario seed set to exercise the other coupling families more densely is documented as future work.</w:t>
      </w:r>
    </w:p>
    <w:bookmarkEnd w:id="43"/>
    <w:bookmarkStart w:id="47" w:name="X6f8fa6fd9b09ef2b69a6b101f4ce900e2807929"/>
    <w:p>
      <w:pPr>
        <w:pStyle w:val="Heading3"/>
      </w:pPr>
      <w:r>
        <w:t xml:space="preserve">6.4 KOSHA RAG Regulatory Grounding — Three Cases (RQ2)</w:t>
      </w:r>
    </w:p>
    <w:p>
      <w:pPr>
        <w:pStyle w:val="FirstParagraph"/>
      </w:pPr>
      <w:r>
        <w:t xml:space="preserve">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p>
    <w:bookmarkStart w:id="44" w:name="X803fa3e0a5e790a433a83f9e5aec711454182df"/>
    <w:p>
      <w:pPr>
        <w:pStyle w:val="Heading4"/>
      </w:pPr>
      <w:r>
        <w:t xml:space="preserve">Case 1 — Vessel Remaining Life (VES-GOLD-001)</w:t>
      </w:r>
    </w:p>
    <w:p>
      <w:pPr>
        <w:pStyle w:val="FirstParagraph"/>
      </w:pPr>
      <w:r>
        <w:t xml:space="preserve">For an SA-516-70 pressure vessel (design pressure 1.858 MPa, 217.3 °C, current thickness 44.82 mm), the calculation engine computes a required shell thickness of 14.99 mm under ASME Section VIII UG-27, a remaining life of</w:t>
      </w:r>
      <w:r>
        <w:t xml:space="preserve"> </w:t>
      </w:r>
      <w:r>
        <w:rPr>
          <w:b/>
          <w:bCs/>
        </w:rPr>
        <w:t xml:space="preserve">136.3 years</w:t>
      </w:r>
      <w:r>
        <w:t xml:space="preserve">, and an API 510 inspection interval of 10 years,</w:t>
      </w:r>
      <w:r>
        <w:t xml:space="preserve"> </w:t>
      </w:r>
      <w:r>
        <w:rPr>
          <w:b/>
          <w:bCs/>
        </w:rPr>
        <w:t xml:space="preserve">with no red flags raised</w:t>
      </w:r>
      <w:r>
        <w:t xml:space="preserve">. The KOSHA RAG layer retrieves</w:t>
      </w:r>
      <w:r>
        <w:t xml:space="preserve"> </w:t>
      </w:r>
      <w:r>
        <w:rPr>
          <w:b/>
          <w:bCs/>
        </w:rPr>
        <w:t xml:space="preserve">M-69-2012</w:t>
      </w:r>
      <w:r>
        <w:t xml:space="preserve"> </w:t>
      </w:r>
      <w:r>
        <w:t xml:space="preserve">(</w:t>
      </w:r>
      <w:r>
        <w:rPr>
          <w:i/>
          <w:iCs/>
        </w:rPr>
        <w:t xml:space="preserve">Technical Guideline for Remaining Life Assessment of Pressure Vessels</w:t>
      </w:r>
      <w:r>
        <w:t xml:space="preserve">) as the top-ranked passage and identifies documentation requirements that are triggered when remaining life exceeds a defined threshold — requirements absent from the engine’s output.</w:t>
      </w:r>
      <w:r>
        <w:t xml:space="preserve"> </w:t>
      </w:r>
      <w:r>
        <w:rPr>
          <w:b/>
          <w:bCs/>
        </w:rPr>
        <w:t xml:space="preserve">Why this matters:</w:t>
      </w:r>
      <w:r>
        <w:t xml:space="preserve"> </w:t>
      </w:r>
      <w:r>
        <w:t xml:space="preserve">even a</w:t>
      </w:r>
      <w:r>
        <w:t xml:space="preserve"> </w:t>
      </w:r>
      <w:r>
        <w:t xml:space="preserve">“very safe”</w:t>
      </w:r>
      <w:r>
        <w:t xml:space="preserve"> </w:t>
      </w:r>
      <w:r>
        <w:t xml:space="preserve">vessel under ASME triggers a KOSHA documentation obligation that, if skipped, exposes the operator to a PSM-audit finding.</w:t>
      </w:r>
    </w:p>
    <w:bookmarkEnd w:id="44"/>
    <w:bookmarkStart w:id="45" w:name="case-2-rbi-planning-ves-gold-009"/>
    <w:p>
      <w:pPr>
        <w:pStyle w:val="Heading4"/>
      </w:pPr>
      <w:r>
        <w:t xml:space="preserve">Case 2 — RBI Planning (VES-GOLD-009)</w:t>
      </w:r>
    </w:p>
    <w:p>
      <w:pPr>
        <w:pStyle w:val="FirstParagraph"/>
      </w:pPr>
      <w:r>
        <w:t xml:space="preserve">For a vessel with a remaining life of 40.2 years (SA-516-70, 1.891 MPa, 241.9 °C), the engine recommends a 10-year inspection interval per API 510. The KOSHA RAG layer retrieves</w:t>
      </w:r>
      <w:r>
        <w:t xml:space="preserve"> </w:t>
      </w:r>
      <w:r>
        <w:rPr>
          <w:b/>
          <w:bCs/>
        </w:rPr>
        <w:t xml:space="preserve">C-C-23-2026</w:t>
      </w:r>
      <w:r>
        <w:t xml:space="preserve"> </w:t>
      </w:r>
      <w:r>
        <w:t xml:space="preserve">(</w:t>
      </w:r>
      <w:r>
        <w:rPr>
          <w:i/>
          <w:iCs/>
        </w:rPr>
        <w:t xml:space="preserve">Technical Regulation for Equipment Reliability via Risk-Based Inspection</w:t>
      </w:r>
      <w:r>
        <w:t xml:space="preserve">) and</w:t>
      </w:r>
      <w:r>
        <w:t xml:space="preserve"> </w:t>
      </w:r>
      <w:r>
        <w:rPr>
          <w:b/>
          <w:bCs/>
        </w:rPr>
        <w:t xml:space="preserve">B-M-18-2026</w:t>
      </w:r>
      <w:r>
        <w:t xml:space="preserve"> </w:t>
      </w:r>
      <w:r>
        <w:t xml:space="preserve">(</w:t>
      </w:r>
      <w:r>
        <w:rPr>
          <w:i/>
          <w:iCs/>
        </w:rPr>
        <w:t xml:space="preserve">Technical Regulation for Piping Life Management</w:t>
      </w:r>
      <w:r>
        <w:t xml:space="preserve">), identifying the trigger conditions under which a mandatory RBI review must be initiated under the Korean PSM framework.</w:t>
      </w:r>
      <w:r>
        <w:t xml:space="preserve"> </w:t>
      </w:r>
      <w:r>
        <w:rPr>
          <w:b/>
          <w:bCs/>
        </w:rPr>
        <w:t xml:space="preserve">Why this matters:</w:t>
      </w:r>
      <w:r>
        <w:t xml:space="preserve"> </w:t>
      </w:r>
      <w:r>
        <w:t xml:space="preserve">API 510’s calendar-based interval can be longer than the KOSHA RBI trigger-driven interval; following only API 510 leaves an under-inspection gap.</w:t>
      </w:r>
    </w:p>
    <w:bookmarkEnd w:id="45"/>
    <w:bookmarkStart w:id="46" w:name="X915aea58546e41a81ecfb4d3fdd6349285e9562"/>
    <w:p>
      <w:pPr>
        <w:pStyle w:val="Heading4"/>
      </w:pPr>
      <w:r>
        <w:t xml:space="preserve">Case 3 — Piping Corrosion Compliance (PIP-GOLD-047)</w:t>
      </w:r>
    </w:p>
    <w:p>
      <w:pPr>
        <w:pStyle w:val="FirstParagraph"/>
      </w:pPr>
      <w:r>
        <w:t xml:space="preserve">For an SA-106 Gr.B carbon-steel line in sour-chloride service (7.804 MPa, 196 °C, 200 ppm Cl⁻), the engine reports a remaining life of 14.0 years</w:t>
      </w:r>
      <w:r>
        <w:t xml:space="preserve"> </w:t>
      </w:r>
      <w:r>
        <w:rPr>
          <w:b/>
          <w:bCs/>
        </w:rPr>
        <w:t xml:space="preserve">with no red flags raised</w:t>
      </w:r>
      <w:r>
        <w:t xml:space="preserve">. The KOSHA RAG layer retrieves, in ranked order,</w:t>
      </w:r>
      <w:r>
        <w:t xml:space="preserve"> </w:t>
      </w:r>
      <w:r>
        <w:rPr>
          <w:b/>
          <w:bCs/>
        </w:rPr>
        <w:t xml:space="preserve">B-M-18-2026</w:t>
      </w:r>
      <w:r>
        <w:t xml:space="preserve">,</w:t>
      </w:r>
      <w:r>
        <w:t xml:space="preserve"> </w:t>
      </w:r>
      <w:r>
        <w:rPr>
          <w:b/>
          <w:bCs/>
        </w:rPr>
        <w:t xml:space="preserve">Article 256 of the Rules on Occupational Safety and Health Standards</w:t>
      </w:r>
      <w:r>
        <w:t xml:space="preserve"> </w:t>
      </w:r>
      <w:r>
        <w:t xml:space="preserve">(</w:t>
      </w:r>
      <w:r>
        <w:rPr>
          <w:rStyle w:val="VerbatimChar"/>
        </w:rPr>
        <w:t xml:space="preserve">산업안전보건기준에 관한 규칙</w:t>
      </w:r>
      <w:r>
        <w:t xml:space="preserve"> </w:t>
      </w:r>
      <w:r>
        <w:t xml:space="preserve">— Corrosion Prevention Provision), and</w:t>
      </w:r>
      <w:r>
        <w:t xml:space="preserve"> </w:t>
      </w:r>
      <w:r>
        <w:rPr>
          <w:b/>
          <w:bCs/>
        </w:rPr>
        <w:t xml:space="preserve">C-C-75-2026</w:t>
      </w:r>
      <w:r>
        <w:t xml:space="preserve"> </w:t>
      </w:r>
      <w:r>
        <w:t xml:space="preserve">(</w:t>
      </w:r>
      <w:r>
        <w:rPr>
          <w:i/>
          <w:iCs/>
        </w:rPr>
        <w:t xml:space="preserve">Technical Regulation for Corrosion Risk Assessment of Chemical Equipment</w:t>
      </w:r>
      <w:r>
        <w:t xml:space="preserve">).</w:t>
      </w:r>
    </w:p>
    <w:p>
      <w:pPr>
        <w:pStyle w:val="BodyText"/>
      </w:pPr>
      <w:r>
        <w:t xml:space="preserve">Article 256 reads (verbatim, with the Korean original preserved):</w:t>
      </w:r>
    </w:p>
    <w:p>
      <w:pPr>
        <w:pStyle w:val="BlockText"/>
      </w:pPr>
      <w:r>
        <w:t xml:space="preserve">제256조(부식 방지) 사업주는 부식성 액체에 의하여 부식될 우려가 있는 부분의 부식을 방지하기 위하여 보온재로 피복하는 등 부식을 방지하기 위한 조치를 하여야 한다.</w:t>
      </w:r>
    </w:p>
    <w:p>
      <w:pPr>
        <w:pStyle w:val="BlockText"/>
      </w:pPr>
      <w:r>
        <w:rPr>
          <w:i/>
          <w:iCs/>
        </w:rPr>
        <w:t xml:space="preserve">English working translation:</w:t>
      </w:r>
      <w:r>
        <w:t xml:space="preserve"> </w:t>
      </w:r>
      <w:r>
        <w:t xml:space="preserve">Article 256 (Corrosion Prevention). The employer</w:t>
      </w:r>
      <w:r>
        <w:t xml:space="preserve"> </w:t>
      </w:r>
      <w:r>
        <w:rPr>
          <w:b/>
          <w:bCs/>
        </w:rPr>
        <w:t xml:space="preserve">shall</w:t>
      </w:r>
      <w:r>
        <w:t xml:space="preserve"> </w:t>
      </w:r>
      <w:r>
        <w:t xml:space="preserve">take measures to prevent corrosion — including, but not limited to, application of insulation/coating — at parts liable to corrosion by corrosive liquids.</w:t>
      </w:r>
    </w:p>
    <w:p>
      <w:pPr>
        <w:pStyle w:val="FirstParagraph"/>
      </w:pPr>
      <w:r>
        <w:t xml:space="preserve">The text shown above matches the body indexed in the system’s SQLite FTS5 store (</w:t>
      </w:r>
      <w:r>
        <w:rPr>
          <w:rStyle w:val="VerbatimChar"/>
        </w:rPr>
        <w:t xml:space="preserve">datasets/kosha_rag/kosha_local_rag.utf8.sqlite3</w:t>
      </w:r>
      <w:r>
        <w:t xml:space="preserve">); the indexed bodies are stored as correct UTF-8 (full-corpus encoding scan reported zero mojibake across 197,124 string fields, see</w:t>
      </w:r>
      <w:r>
        <w:t xml:space="preserve"> </w:t>
      </w:r>
      <w:r>
        <w:rPr>
          <w:rStyle w:val="VerbatimChar"/>
        </w:rPr>
        <w:t xml:space="preserve">outputs/kosha_encoding_diagnosis.md</w:t>
      </w:r>
      <w:r>
        <w:t xml:space="preserve">).</w:t>
      </w:r>
    </w:p>
    <w:p>
      <w:pPr>
        <w:pStyle w:val="BodyText"/>
      </w:pPr>
      <w:r>
        <w:t xml:space="preserve">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BodyText"/>
      </w:pPr>
      <w:r>
        <w:rPr>
          <w:b/>
          <w:bCs/>
        </w:rPr>
        <w:t xml:space="preserve">Table 4. KOSHA RAG Incremental Coverage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Discipline</w:t>
            </w:r>
          </w:p>
        </w:tc>
        <w:tc>
          <w:tcPr/>
          <w:p>
            <w:pPr>
              <w:pStyle w:val="Compact"/>
            </w:pPr>
            <w:r>
              <w:t xml:space="preserve">Calc. Result</w:t>
            </w:r>
          </w:p>
        </w:tc>
        <w:tc>
          <w:tcPr/>
          <w:p>
            <w:pPr>
              <w:pStyle w:val="Compact"/>
            </w:pPr>
            <w:r>
              <w:t xml:space="preserve">Red Flags</w:t>
            </w:r>
          </w:p>
        </w:tc>
        <w:tc>
          <w:tcPr/>
          <w:p>
            <w:pPr>
              <w:pStyle w:val="Compact"/>
            </w:pPr>
            <w:r>
              <w:t xml:space="preserve">Top KOSHA RAG Retrieval</w:t>
            </w:r>
          </w:p>
        </w:tc>
      </w:tr>
      <w:tr>
        <w:tc>
          <w:tcPr/>
          <w:p>
            <w:pPr>
              <w:pStyle w:val="Compact"/>
            </w:pPr>
            <w:r>
              <w:t xml:space="preserve">VES-GOLD-001</w:t>
            </w:r>
          </w:p>
        </w:tc>
        <w:tc>
          <w:tcPr/>
          <w:p>
            <w:pPr>
              <w:pStyle w:val="Compact"/>
            </w:pPr>
            <w:r>
              <w:t xml:space="preserve">Vessel</w:t>
            </w:r>
          </w:p>
        </w:tc>
        <w:tc>
          <w:tcPr/>
          <w:p>
            <w:pPr>
              <w:pStyle w:val="Compact"/>
            </w:pPr>
            <w:r>
              <w:t xml:space="preserve">PASS (RL = 136.3 yr)</w:t>
            </w:r>
          </w:p>
        </w:tc>
        <w:tc>
          <w:tcPr/>
          <w:p>
            <w:pPr>
              <w:pStyle w:val="Compact"/>
            </w:pPr>
            <w:r>
              <w:t xml:space="preserve">None</w:t>
            </w:r>
          </w:p>
        </w:tc>
        <w:tc>
          <w:tcPr/>
          <w:p>
            <w:pPr>
              <w:pStyle w:val="Compact"/>
            </w:pPr>
            <w:r>
              <w:t xml:space="preserve">M-69-2012 (Remaining Life Evaluation)</w:t>
            </w:r>
          </w:p>
        </w:tc>
      </w:tr>
      <w:tr>
        <w:tc>
          <w:tcPr/>
          <w:p>
            <w:pPr>
              <w:pStyle w:val="Compact"/>
            </w:pPr>
            <w:r>
              <w:t xml:space="preserve">VES-GOLD-009</w:t>
            </w:r>
          </w:p>
        </w:tc>
        <w:tc>
          <w:tcPr/>
          <w:p>
            <w:pPr>
              <w:pStyle w:val="Compact"/>
            </w:pPr>
            <w:r>
              <w:t xml:space="preserve">Vessel</w:t>
            </w:r>
          </w:p>
        </w:tc>
        <w:tc>
          <w:tcPr/>
          <w:p>
            <w:pPr>
              <w:pStyle w:val="Compact"/>
            </w:pPr>
            <w:r>
              <w:t xml:space="preserve">PASS (RL = 40.2 yr)</w:t>
            </w:r>
          </w:p>
        </w:tc>
        <w:tc>
          <w:tcPr/>
          <w:p>
            <w:pPr>
              <w:pStyle w:val="Compact"/>
            </w:pPr>
            <w:r>
              <w:t xml:space="preserve">None</w:t>
            </w:r>
          </w:p>
        </w:tc>
        <w:tc>
          <w:tcPr/>
          <w:p>
            <w:pPr>
              <w:pStyle w:val="Compact"/>
            </w:pPr>
            <w:r>
              <w:t xml:space="preserve">C-C-23-2026 (RBI), B-M-18-2026</w:t>
            </w:r>
          </w:p>
        </w:tc>
      </w:tr>
      <w:tr>
        <w:tc>
          <w:tcPr/>
          <w:p>
            <w:pPr>
              <w:pStyle w:val="Compact"/>
            </w:pPr>
            <w:r>
              <w:t xml:space="preserve">PIP-GOLD-047</w:t>
            </w:r>
          </w:p>
        </w:tc>
        <w:tc>
          <w:tcPr/>
          <w:p>
            <w:pPr>
              <w:pStyle w:val="Compact"/>
            </w:pPr>
            <w:r>
              <w:t xml:space="preserve">Piping</w:t>
            </w:r>
          </w:p>
        </w:tc>
        <w:tc>
          <w:tcPr/>
          <w:p>
            <w:pPr>
              <w:pStyle w:val="Compact"/>
            </w:pPr>
            <w:r>
              <w:t xml:space="preserve">PASS (RL = 14.0 yr)</w:t>
            </w:r>
          </w:p>
        </w:tc>
        <w:tc>
          <w:tcPr/>
          <w:p>
            <w:pPr>
              <w:pStyle w:val="Compact"/>
            </w:pPr>
            <w:r>
              <w:t xml:space="preserve">None</w:t>
            </w:r>
          </w:p>
        </w:tc>
        <w:tc>
          <w:tcPr/>
          <w:p>
            <w:pPr>
              <w:pStyle w:val="Compact"/>
            </w:pPr>
            <w:r>
              <w:t xml:space="preserve">B-M-18-2026, Art. 256, C-C-75-2026</w:t>
            </w:r>
          </w:p>
        </w:tc>
      </w:tr>
    </w:tbl>
    <w:p>
      <w:pPr>
        <w:pStyle w:val="BodyText"/>
      </w:pPr>
      <w:r>
        <w:rPr>
          <w:b/>
          <w:bCs/>
        </w:rPr>
        <w:t xml:space="preserve">Table 5. KOSHA Citation Quality and Regulatory Class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Reference</w:t>
            </w:r>
          </w:p>
        </w:tc>
        <w:tc>
          <w:tcPr/>
          <w:p>
            <w:pPr>
              <w:pStyle w:val="Compact"/>
            </w:pPr>
            <w:r>
              <w:t xml:space="preserve">Title</w:t>
            </w:r>
          </w:p>
        </w:tc>
        <w:tc>
          <w:tcPr/>
          <w:p>
            <w:pPr>
              <w:pStyle w:val="Compact"/>
            </w:pPr>
            <w:r>
              <w:t xml:space="preserve">Regulatory class</w:t>
            </w:r>
          </w:p>
        </w:tc>
        <w:tc>
          <w:tcPr/>
          <w:p>
            <w:pPr>
              <w:pStyle w:val="Compact"/>
            </w:pPr>
            <w:r>
              <w:t xml:space="preserve">Triggered by</w:t>
            </w:r>
          </w:p>
        </w:tc>
      </w:tr>
      <w:tr>
        <w:tc>
          <w:tcPr/>
          <w:p>
            <w:pPr>
              <w:pStyle w:val="Compact"/>
            </w:pPr>
            <w:r>
              <w:t xml:space="preserve">KOSHA Guide</w:t>
            </w:r>
          </w:p>
        </w:tc>
        <w:tc>
          <w:tcPr/>
          <w:p>
            <w:pPr>
              <w:pStyle w:val="Compact"/>
            </w:pPr>
            <w:r>
              <w:t xml:space="preserve">M-69-2012</w:t>
            </w:r>
          </w:p>
        </w:tc>
        <w:tc>
          <w:tcPr/>
          <w:p>
            <w:pPr>
              <w:pStyle w:val="Compact"/>
            </w:pPr>
            <w:r>
              <w:t xml:space="preserve">Technical Guideline for Remaining Life Assessment of Pressure Vessels</w:t>
            </w:r>
          </w:p>
        </w:tc>
        <w:tc>
          <w:tcPr/>
          <w:p>
            <w:pPr>
              <w:pStyle w:val="Compact"/>
            </w:pPr>
            <w:r>
              <w:t xml:space="preserve">guidance</w:t>
            </w:r>
          </w:p>
        </w:tc>
        <w:tc>
          <w:tcPr/>
          <w:p>
            <w:pPr>
              <w:pStyle w:val="Compact"/>
            </w:pPr>
            <w:r>
              <w:t xml:space="preserve">Vessel remaining-life context</w:t>
            </w:r>
          </w:p>
        </w:tc>
      </w:tr>
      <w:tr>
        <w:tc>
          <w:tcPr/>
          <w:p>
            <w:pPr>
              <w:pStyle w:val="Compact"/>
            </w:pPr>
            <w:r>
              <w:t xml:space="preserve">KOSHA Guide</w:t>
            </w:r>
          </w:p>
        </w:tc>
        <w:tc>
          <w:tcPr/>
          <w:p>
            <w:pPr>
              <w:pStyle w:val="Compact"/>
            </w:pPr>
            <w:r>
              <w:t xml:space="preserve">C-C-23-2026</w:t>
            </w:r>
          </w:p>
        </w:tc>
        <w:tc>
          <w:tcPr/>
          <w:p>
            <w:pPr>
              <w:pStyle w:val="Compact"/>
            </w:pPr>
            <w:r>
              <w:t xml:space="preserve">Technical Regulation for Equipment Reliability via RBI</w:t>
            </w:r>
          </w:p>
        </w:tc>
        <w:tc>
          <w:tcPr/>
          <w:p>
            <w:pPr>
              <w:pStyle w:val="Compact"/>
            </w:pPr>
            <w:r>
              <w:t xml:space="preserve">guidance</w:t>
            </w:r>
          </w:p>
        </w:tc>
        <w:tc>
          <w:tcPr/>
          <w:p>
            <w:pPr>
              <w:pStyle w:val="Compact"/>
            </w:pPr>
            <w:r>
              <w:t xml:space="preserve">Short RL + corrosion rate</w:t>
            </w:r>
          </w:p>
        </w:tc>
      </w:tr>
      <w:tr>
        <w:tc>
          <w:tcPr/>
          <w:p>
            <w:pPr>
              <w:pStyle w:val="Compact"/>
            </w:pPr>
            <w:r>
              <w:t xml:space="preserve">KOSHA Guide</w:t>
            </w:r>
          </w:p>
        </w:tc>
        <w:tc>
          <w:tcPr/>
          <w:p>
            <w:pPr>
              <w:pStyle w:val="Compact"/>
            </w:pPr>
            <w:r>
              <w:t xml:space="preserve">B-M-18-2026</w:t>
            </w:r>
          </w:p>
        </w:tc>
        <w:tc>
          <w:tcPr/>
          <w:p>
            <w:pPr>
              <w:pStyle w:val="Compact"/>
            </w:pPr>
            <w:r>
              <w:t xml:space="preserve">Technical Regulation for Piping Life Management</w:t>
            </w:r>
          </w:p>
        </w:tc>
        <w:tc>
          <w:tcPr/>
          <w:p>
            <w:pPr>
              <w:pStyle w:val="Compact"/>
            </w:pPr>
            <w:r>
              <w:t xml:space="preserve">guidance</w:t>
            </w:r>
          </w:p>
        </w:tc>
        <w:tc>
          <w:tcPr/>
          <w:p>
            <w:pPr>
              <w:pStyle w:val="Compact"/>
            </w:pPr>
            <w:r>
              <w:t xml:space="preserve">High CR + sour service</w:t>
            </w:r>
          </w:p>
        </w:tc>
      </w:tr>
      <w:tr>
        <w:tc>
          <w:tcPr/>
          <w:p>
            <w:pPr>
              <w:pStyle w:val="Compact"/>
            </w:pPr>
            <w:r>
              <w:t xml:space="preserve">Korean Rule</w:t>
            </w:r>
          </w:p>
        </w:tc>
        <w:tc>
          <w:tcPr/>
          <w:p>
            <w:pPr>
              <w:pStyle w:val="Compact"/>
            </w:pPr>
            <w:r>
              <w:t xml:space="preserve">Article 256</w:t>
            </w:r>
          </w:p>
        </w:tc>
        <w:tc>
          <w:tcPr/>
          <w:p>
            <w:pPr>
              <w:pStyle w:val="Compact"/>
            </w:pPr>
            <w:r>
              <w:t xml:space="preserve">Rules on Occupational Safety and Health Standards (</w:t>
            </w:r>
            <w:r>
              <w:rPr>
                <w:rStyle w:val="VerbatimChar"/>
              </w:rPr>
              <w:t xml:space="preserve">산업안전보건기준에 관한 규칙</w:t>
            </w:r>
            <w:r>
              <w:t xml:space="preserve">)</w:t>
            </w:r>
          </w:p>
        </w:tc>
        <w:tc>
          <w:tcPr/>
          <w:p>
            <w:pPr>
              <w:pStyle w:val="Compact"/>
            </w:pPr>
            <w:r>
              <w:rPr>
                <w:b/>
                <w:bCs/>
              </w:rPr>
              <w:t xml:space="preserve">mandatory</w:t>
            </w:r>
          </w:p>
        </w:tc>
        <w:tc>
          <w:tcPr/>
          <w:p>
            <w:pPr>
              <w:pStyle w:val="Compact"/>
            </w:pPr>
            <w:r>
              <w:t xml:space="preserve">Chloride + sour + carbon steel</w:t>
            </w:r>
          </w:p>
        </w:tc>
      </w:tr>
      <w:tr>
        <w:tc>
          <w:tcPr/>
          <w:p>
            <w:pPr>
              <w:pStyle w:val="Compact"/>
            </w:pPr>
            <w:r>
              <w:t xml:space="preserve">KOSHA Guide</w:t>
            </w:r>
          </w:p>
        </w:tc>
        <w:tc>
          <w:tcPr/>
          <w:p>
            <w:pPr>
              <w:pStyle w:val="Compact"/>
            </w:pPr>
            <w:r>
              <w:t xml:space="preserve">C-C-75-2026</w:t>
            </w:r>
          </w:p>
        </w:tc>
        <w:tc>
          <w:tcPr/>
          <w:p>
            <w:pPr>
              <w:pStyle w:val="Compact"/>
            </w:pPr>
            <w:r>
              <w:t xml:space="preserve">Technical Regulation for Corrosion Risk Assessment</w:t>
            </w:r>
          </w:p>
        </w:tc>
        <w:tc>
          <w:tcPr/>
          <w:p>
            <w:pPr>
              <w:pStyle w:val="Compact"/>
            </w:pPr>
            <w:r>
              <w:t xml:space="preserve">guidance</w:t>
            </w:r>
          </w:p>
        </w:tc>
        <w:tc>
          <w:tcPr/>
          <w:p>
            <w:pPr>
              <w:pStyle w:val="Compact"/>
            </w:pPr>
            <w:r>
              <w:t xml:space="preserve">CR exceeds threshold</w:t>
            </w:r>
          </w:p>
        </w:tc>
      </w:tr>
    </w:tbl>
    <w:bookmarkEnd w:id="46"/>
    <w:bookmarkEnd w:id="47"/>
    <w:bookmarkStart w:id="51" w:name="curated-retrieval-benchmark-rq2"/>
    <w:p>
      <w:pPr>
        <w:pStyle w:val="Heading3"/>
      </w:pPr>
      <w:r>
        <w:t xml:space="preserve">6.5 Curated Retrieval Benchmark (RQ2)</w:t>
      </w:r>
    </w:p>
    <w:p>
      <w:pPr>
        <w:pStyle w:val="FirstParagraph"/>
      </w:pPr>
      <w:r>
        <w:t xml:space="preserve">To quantify the retrieval effect of synonym-aware regulatory search, we constructed a 50-query curated benchmark organised as</w:t>
      </w:r>
      <w:r>
        <w:t xml:space="preserve"> </w:t>
      </w:r>
      <w:r>
        <w:rPr>
          <w:b/>
          <w:bCs/>
        </w:rPr>
        <w:t xml:space="preserve">five regulatory target groups × ten queries per group</w:t>
      </w:r>
      <w:r>
        <w:t xml:space="preserve">, totalling 50 queries (</w:t>
      </w:r>
      <w:r>
        <w:rPr>
          <w:rStyle w:val="VerbatimChar"/>
        </w:rPr>
        <w:t xml:space="preserve">datasets/kosha_rag/rag_eval_queries.json</w:t>
      </w:r>
      <w:r>
        <w:t xml:space="preserve">).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w:t>
      </w:r>
      <w:r>
        <w:t xml:space="preserve"> </w:t>
      </w:r>
      <w:r>
        <w:rPr>
          <w:b/>
          <w:bCs/>
        </w:rPr>
        <w:t xml:space="preserve">retrieval-quality variance across query formulations</w:t>
      </w:r>
      <w:r>
        <w:t xml:space="preserve"> </w:t>
      </w:r>
      <w:r>
        <w:t xml:space="preserve">rather than breadth of regulatory coverage. The curation policy and full query set are released in the dataset folder for independent inspection.</w:t>
      </w:r>
    </w:p>
    <w:p>
      <w:pPr>
        <w:pStyle w:val="BodyText"/>
      </w:pPr>
      <w:r>
        <w:rPr>
          <w:b/>
          <w:bCs/>
        </w:rPr>
        <w:t xml:space="preserve">Sample size justification.</w:t>
      </w:r>
      <w:r>
        <w:t xml:space="preserve"> </w:t>
      </w:r>
      <w:r>
        <w:t xml:space="preserve">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dominated by noise. We report group-level metrics in addition to the overall mean so that group-specific weaknesses are visible.</w:t>
      </w:r>
    </w:p>
    <w:p>
      <w:pPr>
        <w:pStyle w:val="BodyText"/>
      </w:pPr>
      <w:r>
        <w:rPr>
          <w:b/>
          <w:bCs/>
        </w:rPr>
        <w:t xml:space="preserve">Query-generation independence — known limitation.</w:t>
      </w:r>
      <w:r>
        <w:t xml:space="preserve"> </w:t>
      </w:r>
      <w:r>
        <w:t xml:space="preserve">The 50 queries were authored by the same person who designed the system. To mitigate the obvious bias risk, we (a) constrained query construction to plausible engineering paraphrasings drawn from KOSHA technical guideline titles and from established Korean engineering vocabulary rather than from the system’s internal synonym list, (b) released the full query set under</w:t>
      </w:r>
      <w:r>
        <w:t xml:space="preserve"> </w:t>
      </w:r>
      <w:r>
        <w:rPr>
          <w:rStyle w:val="VerbatimChar"/>
        </w:rPr>
        <w:t xml:space="preserve">datasets/kosha_rag/rag_eval_queries.json</w:t>
      </w:r>
      <w:r>
        <w:t xml:space="preserve"> </w:t>
      </w:r>
      <w:r>
        <w:t xml:space="preserve">for independent inspection, and (c) report a retrieval-failure inventory (Appendix B.4) tagging every K=5 miss with one of two diagnosis categories — six of seven failures fall in</w:t>
      </w:r>
      <w:r>
        <w:t xml:space="preserve"> </w:t>
      </w:r>
      <w:r>
        <w:rPr>
          <w:rStyle w:val="VerbatimChar"/>
        </w:rPr>
        <w:t xml:space="preserve">paraphrase_too_loose</w:t>
      </w:r>
      <w:r>
        <w:t xml:space="preserve">, which is exactly the failure mode that an independently authored query set would also expose. Independent query-set authorship by a disjoint annotator pool is a documented future-work item (§8 Limitation 7).</w:t>
      </w:r>
    </w:p>
    <w:p>
      <w:pPr>
        <w:pStyle w:val="BodyText"/>
      </w:pPr>
      <w:r>
        <w:rPr>
          <w:b/>
          <w:bCs/>
        </w:rPr>
        <w:t xml:space="preserve">Table 6. KOSHA RAG Retrieval Benchmark — Overall</w:t>
      </w:r>
      <w:r>
        <w:t xml:space="preserve"> </w:t>
      </w:r>
      <w:r>
        <w:t xml:space="preserve">(paired-bootstrap 95% CIs from</w:t>
      </w:r>
      <w:r>
        <w:t xml:space="preserve"> </w:t>
      </w:r>
      <w:r>
        <w:rPr>
          <w:rStyle w:val="VerbatimChar"/>
        </w:rPr>
        <w:t xml:space="preserve">outputs/rag_bootstrap_ci_report.md</w:t>
      </w:r>
      <w:r>
        <w:t xml:space="preserve">, n=50, 1000 resamples, seed = 20260508)</w:t>
      </w:r>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Absolute Delta</w:t>
            </w:r>
          </w:p>
        </w:tc>
        <w:tc>
          <w:tcPr/>
          <w:p>
            <w:pPr>
              <w:pStyle w:val="Compact"/>
              <w:jc w:val="right"/>
            </w:pPr>
            <w:r>
              <w:t xml:space="preserve">Paired CI [2.5%, 97.5%]</w:t>
            </w:r>
          </w:p>
        </w:tc>
        <w:tc>
          <w:tcPr/>
          <w:p>
            <w:pPr>
              <w:pStyle w:val="Compact"/>
              <w:jc w:val="center"/>
            </w:pPr>
            <w:r>
              <w:t xml:space="preserve">Includes 0?</w:t>
            </w:r>
          </w:p>
        </w:tc>
      </w:tr>
      <w:tr>
        <w:tc>
          <w:tcPr/>
          <w:p>
            <w:pPr>
              <w:pStyle w:val="Compact"/>
            </w:pPr>
            <w:r>
              <w:t xml:space="preserve">Recall@1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c>
          <w:tcPr/>
          <w:p>
            <w:pPr>
              <w:pStyle w:val="Compact"/>
              <w:jc w:val="right"/>
            </w:pPr>
            <w:r>
              <w:t xml:space="preserve">[+0.14, +0.48]</w:t>
            </w:r>
          </w:p>
        </w:tc>
        <w:tc>
          <w:tcPr/>
          <w:p>
            <w:pPr>
              <w:pStyle w:val="Compact"/>
              <w:jc w:val="center"/>
            </w:pPr>
            <w:r>
              <w:t xml:space="preserve">No ✅</w:t>
            </w:r>
          </w:p>
        </w:tc>
      </w:tr>
      <w:tr>
        <w:tc>
          <w:tcPr/>
          <w:p>
            <w:pPr>
              <w:pStyle w:val="Compact"/>
            </w:pPr>
            <w:r>
              <w:t xml:space="preserve">Recall@3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Recall@5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c>
          <w:tcPr/>
          <w:p>
            <w:pPr>
              <w:pStyle w:val="Compact"/>
              <w:jc w:val="right"/>
            </w:pPr>
            <w:r>
              <w:t xml:space="preserve">[+0.09, +0.35]</w:t>
            </w:r>
          </w:p>
        </w:tc>
        <w:tc>
          <w:tcPr/>
          <w:p>
            <w:pPr>
              <w:pStyle w:val="Compact"/>
              <w:jc w:val="center"/>
            </w:pPr>
            <w:r>
              <w:t xml:space="preserve">No ✅</w:t>
            </w:r>
          </w:p>
        </w:tc>
      </w:tr>
    </w:tbl>
    <w:p>
      <w:pPr>
        <w:pStyle w:val="Body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odyText"/>
      </w:pPr>
      <w:r>
        <w:t xml:space="preserve">Extending the recall analysis to K=10 (</w:t>
      </w:r>
      <w:r>
        <w:rPr>
          <w:rStyle w:val="VerbatimChar"/>
        </w:rPr>
        <w:t xml:space="preserve">outputs/rag_retrieval_extended.md</w:t>
      </w:r>
      <w:r>
        <w:t xml:space="preserve">) confirms that the Enhanced FTS curve plateaus at 0.8621 from K=3 onward while the Plain FTS curve continues to rise, reaching 0.8012 at K∈{9, 10}. The paired-bootstrap 95% CI on the Enhanced − Plain delta excludes zero only at K∈{1, 2} and includes zero at all K ≥ 3. The Recall@1 and MRR@10 advantages remain the only headline retrieval claims that survive paired-bootstrap scrutiny on this benchmark.</w:t>
      </w:r>
    </w:p>
    <w:p>
      <w:pPr>
        <w:pStyle w:val="BodyText"/>
      </w:pPr>
      <w:r>
        <w:rPr>
          <w:b/>
          <w:bCs/>
        </w:rPr>
        <w:t xml:space="preserve">Table 6b. KOSHA RAG Retrieval Benchmark — by Regulatory Target Group (Recall@5)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jc w:val="right"/>
            </w:pPr>
            <w:r>
              <w:t xml:space="preserve">Plain R@5</w:t>
            </w:r>
          </w:p>
        </w:tc>
        <w:tc>
          <w:tcPr/>
          <w:p>
            <w:pPr>
              <w:pStyle w:val="Compact"/>
              <w:jc w:val="right"/>
            </w:pPr>
            <w:r>
              <w:t xml:space="preserve">Enhanced R@5</w:t>
            </w:r>
          </w:p>
        </w:tc>
        <w:tc>
          <w:tcPr/>
          <w:p>
            <w:pPr>
              <w:pStyle w:val="Compact"/>
              <w:jc w:val="right"/>
            </w:pPr>
            <w:r>
              <w:t xml:space="preserve">Delta</w:t>
            </w:r>
          </w:p>
        </w:tc>
      </w:tr>
      <w:tr>
        <w:tc>
          <w:tcPr/>
          <w:p>
            <w:pPr>
              <w:pStyle w:val="Compact"/>
            </w:pPr>
            <w:r>
              <w:t xml:space="preserve">M-69 remaining life</w:t>
            </w:r>
          </w:p>
        </w:tc>
        <w:tc>
          <w:tcPr/>
          <w:p>
            <w:pPr>
              <w:pStyle w:val="Compact"/>
              <w:jc w:val="right"/>
            </w:pPr>
            <w:r>
              <w:t xml:space="preserve">0.9000</w:t>
            </w:r>
          </w:p>
        </w:tc>
        <w:tc>
          <w:tcPr/>
          <w:p>
            <w:pPr>
              <w:pStyle w:val="Compact"/>
              <w:jc w:val="right"/>
            </w:pPr>
            <w:r>
              <w:t xml:space="preserve">1.0000</w:t>
            </w:r>
          </w:p>
        </w:tc>
        <w:tc>
          <w:tcPr/>
          <w:p>
            <w:pPr>
              <w:pStyle w:val="Compact"/>
              <w:jc w:val="right"/>
            </w:pPr>
            <w:r>
              <w:t xml:space="preserve">+0.1000</w:t>
            </w:r>
          </w:p>
        </w:tc>
      </w:tr>
      <w:tr>
        <w:tc>
          <w:tcPr/>
          <w:p>
            <w:pPr>
              <w:pStyle w:val="Compact"/>
            </w:pPr>
            <w:r>
              <w:t xml:space="preserve">C-C-23 RBI</w:t>
            </w:r>
          </w:p>
        </w:tc>
        <w:tc>
          <w:tcPr/>
          <w:p>
            <w:pPr>
              <w:pStyle w:val="Compact"/>
              <w:jc w:val="right"/>
            </w:pPr>
            <w:r>
              <w:t xml:space="preserve">0.9000</w:t>
            </w:r>
          </w:p>
        </w:tc>
        <w:tc>
          <w:tcPr/>
          <w:p>
            <w:pPr>
              <w:pStyle w:val="Compact"/>
              <w:jc w:val="right"/>
            </w:pPr>
            <w:r>
              <w:t xml:space="preserve">0.9000</w:t>
            </w:r>
          </w:p>
        </w:tc>
        <w:tc>
          <w:tcPr/>
          <w:p>
            <w:pPr>
              <w:pStyle w:val="Compact"/>
              <w:jc w:val="right"/>
            </w:pPr>
            <w:r>
              <w:t xml:space="preserve">+0.0000</w:t>
            </w:r>
          </w:p>
        </w:tc>
      </w:tr>
      <w:tr>
        <w:tc>
          <w:tcPr/>
          <w:p>
            <w:pPr>
              <w:pStyle w:val="Compact"/>
            </w:pPr>
            <w:r>
              <w:t xml:space="preserve">B-M-18 piping life</w:t>
            </w:r>
          </w:p>
        </w:tc>
        <w:tc>
          <w:tcPr/>
          <w:p>
            <w:pPr>
              <w:pStyle w:val="Compact"/>
              <w:jc w:val="right"/>
            </w:pPr>
            <w:r>
              <w:t xml:space="preserve">0.6000</w:t>
            </w:r>
          </w:p>
        </w:tc>
        <w:tc>
          <w:tcPr/>
          <w:p>
            <w:pPr>
              <w:pStyle w:val="Compact"/>
              <w:jc w:val="right"/>
            </w:pPr>
            <w:r>
              <w:t xml:space="preserve">0.8000</w:t>
            </w:r>
          </w:p>
        </w:tc>
        <w:tc>
          <w:tcPr/>
          <w:p>
            <w:pPr>
              <w:pStyle w:val="Compact"/>
              <w:jc w:val="right"/>
            </w:pPr>
            <w:r>
              <w:t xml:space="preserve">+0.2000</w:t>
            </w:r>
          </w:p>
        </w:tc>
      </w:tr>
      <w:tr>
        <w:tc>
          <w:tcPr/>
          <w:p>
            <w:pPr>
              <w:pStyle w:val="Compact"/>
            </w:pPr>
            <w:r>
              <w:t xml:space="preserve">C-C-75 corrosion risk</w:t>
            </w:r>
          </w:p>
        </w:tc>
        <w:tc>
          <w:tcPr/>
          <w:p>
            <w:pPr>
              <w:pStyle w:val="Compact"/>
              <w:jc w:val="right"/>
            </w:pPr>
            <w:r>
              <w:t xml:space="preserve">0.8000</w:t>
            </w:r>
          </w:p>
        </w:tc>
        <w:tc>
          <w:tcPr/>
          <w:p>
            <w:pPr>
              <w:pStyle w:val="Compact"/>
              <w:jc w:val="right"/>
            </w:pPr>
            <w:r>
              <w:t xml:space="preserve">0.9000</w:t>
            </w:r>
          </w:p>
        </w:tc>
        <w:tc>
          <w:tcPr/>
          <w:p>
            <w:pPr>
              <w:pStyle w:val="Compact"/>
              <w:jc w:val="right"/>
            </w:pPr>
            <w:r>
              <w:t xml:space="preserve">+0.1000</w:t>
            </w:r>
          </w:p>
        </w:tc>
      </w:tr>
      <w:tr>
        <w:tc>
          <w:tcPr/>
          <w:p>
            <w:pPr>
              <w:pStyle w:val="Compact"/>
            </w:pPr>
            <w:r>
              <w:t xml:space="preserve">Article 256 corrosion prevention</w:t>
            </w:r>
          </w:p>
        </w:tc>
        <w:tc>
          <w:tcPr/>
          <w:p>
            <w:pPr>
              <w:pStyle w:val="Compact"/>
              <w:jc w:val="right"/>
            </w:pPr>
            <w:r>
              <w:t xml:space="preserve">0.5000</w:t>
            </w:r>
          </w:p>
        </w:tc>
        <w:tc>
          <w:tcPr/>
          <w:p>
            <w:pPr>
              <w:pStyle w:val="Compact"/>
              <w:jc w:val="right"/>
            </w:pPr>
            <w:r>
              <w:t xml:space="preserve">0.7000</w:t>
            </w:r>
          </w:p>
        </w:tc>
        <w:tc>
          <w:tcPr/>
          <w:p>
            <w:pPr>
              <w:pStyle w:val="Compact"/>
              <w:jc w:val="right"/>
            </w:pPr>
            <w:r>
              <w:t xml:space="preserve">+0.2000</w:t>
            </w:r>
          </w:p>
        </w:tc>
      </w:tr>
    </w:tbl>
    <w:p>
      <w:pPr>
        <w:pStyle w:val="Body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CaptionedFigure"/>
      </w:pPr>
      <w:r>
        <w:drawing>
          <wp:inline>
            <wp:extent cx="5334000" cy="2530024"/>
            <wp:effectExtent b="0" l="0" r="0" t="0"/>
            <wp:docPr descr="Figure 5. Recall and MRR per regulatory target group, Plain BM25 vs Enhanced (concept-aware synonym expansion + OR fallback). Largest gains on Article 256 and B-M-18 where casual paraphrasing diverges from formal titles." title="" id="49" name="Picture"/>
            <a:graphic>
              <a:graphicData uri="http://schemas.openxmlformats.org/drawingml/2006/picture">
                <pic:pic>
                  <pic:nvPicPr>
                    <pic:cNvPr descr="figures/fig_5_retrieval_metrics.png" id="50" name="Picture"/>
                    <pic:cNvPicPr>
                      <a:picLocks noChangeArrowheads="1" noChangeAspect="1"/>
                    </pic:cNvPicPr>
                  </pic:nvPicPr>
                  <pic:blipFill>
                    <a:blip r:embed="rId48"/>
                    <a:stretch>
                      <a:fillRect/>
                    </a:stretch>
                  </pic:blipFill>
                  <pic:spPr bwMode="auto">
                    <a:xfrm>
                      <a:off x="0" y="0"/>
                      <a:ext cx="5334000" cy="2530024"/>
                    </a:xfrm>
                    <a:prstGeom prst="rect">
                      <a:avLst/>
                    </a:prstGeom>
                    <a:noFill/>
                    <a:ln w="9525">
                      <a:noFill/>
                      <a:headEnd/>
                      <a:tailEnd/>
                    </a:ln>
                  </pic:spPr>
                </pic:pic>
              </a:graphicData>
            </a:graphic>
          </wp:inline>
        </w:drawing>
      </w:r>
    </w:p>
    <w:p>
      <w:pPr>
        <w:pStyle w:val="ImageCaption"/>
      </w:pPr>
      <w:r>
        <w:t xml:space="preserve">Figure 5. Recall and MRR per regulatory target group, Plain BM25 vs Enhanced (concept-aware synonym expansion + OR fallback). Largest gains on Article 256 and B-M-18 where casual paraphrasing diverges from formal titles.</w:t>
      </w:r>
    </w:p>
    <w:bookmarkEnd w:id="51"/>
    <w:bookmarkStart w:id="53" w:name="X945ebd9b2e343d6b9f880fd96f78b4c10113984"/>
    <w:p>
      <w:pPr>
        <w:pStyle w:val="Heading3"/>
      </w:pPr>
      <w:r>
        <w:t xml:space="preserve">6.6 Industry-Baseline Comparison and Internal Ablation</w:t>
      </w:r>
    </w:p>
    <w:p>
      <w:pPr>
        <w:pStyle w:val="FirstParagraph"/>
      </w:pPr>
      <w:r>
        <w:t xml:space="preserve">An effective comparison against existing methods is essential. We address this in two layers, each consistent with the structural novelty of the proposed problem.</w:t>
      </w:r>
    </w:p>
    <w:p>
      <w:pPr>
        <w:pStyle w:val="Body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odyText"/>
      </w:pPr>
      <w:r>
        <w:rPr>
          <w:b/>
          <w:bCs/>
        </w:rPr>
        <w:t xml:space="preserve">Table 7. Industry-Baseline (</w:t>
      </w:r>
      <w:r>
        <w:rPr>
          <w:b/>
          <w:bCs/>
        </w:rPr>
        <w:t xml:space="preserve">“ASME/API pass = compliance complete”</w:t>
      </w:r>
      <w:r>
        <w:rPr>
          <w:b/>
          <w:bCs/>
        </w:rPr>
        <w:t xml:space="preserve">) vs Regulatory RAG</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Case</w:t>
            </w:r>
          </w:p>
        </w:tc>
        <w:tc>
          <w:tcPr/>
          <w:p>
            <w:pPr>
              <w:pStyle w:val="Compact"/>
              <w:jc w:val="right"/>
            </w:pPr>
            <w:r>
              <w:t xml:space="preserve">Industry baseline detected</w:t>
            </w:r>
          </w:p>
        </w:tc>
        <w:tc>
          <w:tcPr/>
          <w:p>
            <w:pPr>
              <w:pStyle w:val="Compact"/>
              <w:jc w:val="right"/>
            </w:pPr>
            <w:r>
              <w:t xml:space="preserve">Regulatory RAG detected</w:t>
            </w:r>
          </w:p>
        </w:tc>
        <w:tc>
          <w:tcPr/>
          <w:p>
            <w:pPr>
              <w:pStyle w:val="Compact"/>
              <w:jc w:val="right"/>
            </w:pPr>
            <w:r>
              <w:t xml:space="preserve">First relevant rank</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jc w:val="right"/>
            </w:pPr>
            <w:r>
              <w:t xml:space="preserve">—</w:t>
            </w:r>
          </w:p>
        </w:tc>
      </w:tr>
    </w:tbl>
    <w:p>
      <w:pPr>
        <w:pStyle w:val="BodyText"/>
      </w:pPr>
      <w:r>
        <w:rPr>
          <w:b/>
          <w:bCs/>
        </w:rPr>
        <w:t xml:space="preserve">Layer B — Internal four-layer ablation.</w:t>
      </w:r>
      <w:r>
        <w:t xml:space="preserve"> </w:t>
      </w:r>
      <w:r>
        <w:t xml:space="preserve">Beyond the validator-on/off ablation of §6.3, we report the incremental detection contribution of each system layer in Table 7b.</w:t>
      </w:r>
    </w:p>
    <w:p>
      <w:pPr>
        <w:pStyle w:val="BodyText"/>
      </w:pPr>
      <w:r>
        <w:rPr>
          <w:b/>
          <w:bCs/>
        </w:rPr>
        <w:t xml:space="preserve">Table 7b. Internal Ablation by System Layer (3 case set + 60 ablation set)</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Cross-discipline blocks (60-case set)</w:t>
            </w:r>
          </w:p>
        </w:tc>
        <w:tc>
          <w:tcPr/>
          <w:p>
            <w:pPr>
              <w:pStyle w:val="Compact"/>
              <w:jc w:val="right"/>
            </w:pPr>
            <w:r>
              <w:t xml:space="preserve">KOSHA-jurisdiction detections (3-case set)</w:t>
            </w:r>
          </w:p>
        </w:tc>
      </w:tr>
      <w:tr>
        <w:tc>
          <w:tcPr/>
          <w:p>
            <w:pPr>
              <w:pStyle w:val="Compact"/>
            </w:pPr>
            <w:r>
              <w:t xml:space="preserve">Calc engines only</w:t>
            </w:r>
          </w:p>
        </w:tc>
        <w:tc>
          <w:tcPr/>
          <w:p>
            <w:pPr>
              <w:pStyle w:val="Compact"/>
              <w:jc w:val="right"/>
            </w:pPr>
            <w:r>
              <w:t xml:space="preserve">0 / 60</w:t>
            </w:r>
          </w:p>
        </w:tc>
        <w:tc>
          <w:tcPr/>
          <w:p>
            <w:pPr>
              <w:pStyle w:val="Compact"/>
              <w:jc w:val="right"/>
            </w:pPr>
            <w:r>
              <w:t xml:space="preserve">0 / 3</w:t>
            </w:r>
          </w:p>
        </w:tc>
      </w:tr>
      <w:tr>
        <w:tc>
          <w:tcPr/>
          <w:p>
            <w:pPr>
              <w:pStyle w:val="Compact"/>
            </w:pPr>
            <w:r>
              <w:t xml:space="preserve">Calc + Cross-discipline validator</w:t>
            </w:r>
          </w:p>
        </w:tc>
        <w:tc>
          <w:tcPr/>
          <w:p>
            <w:pPr>
              <w:pStyle w:val="Compact"/>
              <w:jc w:val="right"/>
            </w:pPr>
            <w:r>
              <w:t xml:space="preserve">26 / 60</w:t>
            </w:r>
          </w:p>
        </w:tc>
        <w:tc>
          <w:tcPr/>
          <w:p>
            <w:pPr>
              <w:pStyle w:val="Compact"/>
              <w:jc w:val="right"/>
            </w:pPr>
            <w:r>
              <w:t xml:space="preserve">0 / 3</w:t>
            </w:r>
          </w:p>
        </w:tc>
      </w:tr>
      <w:tr>
        <w:tc>
          <w:tcPr/>
          <w:p>
            <w:pPr>
              <w:pStyle w:val="Compact"/>
            </w:pPr>
            <w:r>
              <w:t xml:space="preserve">Calc + KOSHA RAG (no K-voting, no validator)</w:t>
            </w:r>
          </w:p>
        </w:tc>
        <w:tc>
          <w:tcPr/>
          <w:p>
            <w:pPr>
              <w:pStyle w:val="Compact"/>
              <w:jc w:val="right"/>
            </w:pPr>
            <w:r>
              <w:t xml:space="preserve">0 / 60</w:t>
            </w:r>
          </w:p>
        </w:tc>
        <w:tc>
          <w:tcPr/>
          <w:p>
            <w:pPr>
              <w:pStyle w:val="Compact"/>
              <w:jc w:val="right"/>
            </w:pPr>
            <w:r>
              <w:t xml:space="preserve">3 / 3</w:t>
            </w:r>
          </w:p>
        </w:tc>
      </w:tr>
      <w:tr>
        <w:tc>
          <w:tcPr/>
          <w:p>
            <w:pPr>
              <w:pStyle w:val="Compact"/>
            </w:pPr>
            <w:r>
              <w:t xml:space="preserve">Full system (Calc + K-voting + Validator + RAG)</w:t>
            </w:r>
          </w:p>
        </w:tc>
        <w:tc>
          <w:tcPr/>
          <w:p>
            <w:pPr>
              <w:pStyle w:val="Compact"/>
              <w:jc w:val="right"/>
            </w:pPr>
            <w:r>
              <w:t xml:space="preserve">26 / 60</w:t>
            </w:r>
          </w:p>
        </w:tc>
        <w:tc>
          <w:tcPr/>
          <w:p>
            <w:pPr>
              <w:pStyle w:val="Compact"/>
              <w:jc w:val="right"/>
            </w:pPr>
            <w:r>
              <w:t xml:space="preserve">3 / 3</w:t>
            </w:r>
          </w:p>
        </w:tc>
      </w:tr>
    </w:tbl>
    <w:p>
      <w:pPr>
        <w:pStyle w:val="BodyText"/>
      </w:pPr>
      <w:r>
        <w:t xml:space="preserve">All four rows of Table 7b are computed by</w:t>
      </w:r>
      <w:r>
        <w:t xml:space="preserve"> </w:t>
      </w:r>
      <w:r>
        <w:rPr>
          <w:rStyle w:val="VerbatimChar"/>
        </w:rPr>
        <w:t xml:space="preserve">scripts/run_layer_ablation.py</w:t>
      </w:r>
      <w:r>
        <w:t xml:space="preserve"> </w:t>
      </w:r>
      <w:r>
        <w:t xml:space="preserve">(</w:t>
      </w:r>
      <w:r>
        <w:rPr>
          <w:rStyle w:val="VerbatimChar"/>
        </w:rPr>
        <w:t xml:space="preserve">outputs/layer_ablation_report.md</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 (Section 5.4).</w:t>
      </w:r>
    </w:p>
    <w:p>
      <w:pPr>
        <w:pStyle w:val="BodyText"/>
      </w:pPr>
      <w:r>
        <w:rPr>
          <w:b/>
          <w:bCs/>
        </w:rPr>
        <w:t xml:space="preserve">No prior system targets the jurisdiction compliance gap directly.</w:t>
      </w:r>
      <w:r>
        <w:t xml:space="preserve"> </w:t>
      </w:r>
      <w:r>
        <w:t xml:space="preserve">A side-by-side comparison against another published system that performs</w:t>
      </w:r>
      <w:r>
        <w:t xml:space="preserve"> </w:t>
      </w:r>
      <w:r>
        <w:rPr>
          <w:i/>
          <w:iCs/>
        </w:rPr>
        <w:t xml:space="preserve">the same task</w:t>
      </w:r>
      <w:r>
        <w:t xml:space="preserve"> </w:t>
      </w:r>
      <w:r>
        <w:t xml:space="preserve">(KOSHA-aware, multi-discipline, ASME/API + Korean-statute) is structurally bounded because, to our knowledge, no such system exists in the literature (Section 2). RAGuard [6] is the closest precedent and is single-domain, non-statutory; the Elhosary HAZOP-RAG [3] retrieves historical incidents, not statutes; the LLM-fine-tuning work of [13] does not run engineering calculations. We therefore offer the two layers above (industry baseline + internal ablation) as the strongest available comparison and acknowledge that a third-party head-to-head will become possible only as the field matures.</w:t>
      </w:r>
    </w:p>
    <w:p>
      <w:pPr>
        <w:pStyle w:val="BodyText"/>
      </w:pPr>
      <w:r>
        <w:rPr>
          <w:b/>
          <w:bCs/>
        </w:rPr>
        <w:t xml:space="preserve">The industry baseline is not a human-expert comparison.</w:t>
      </w:r>
      <w:r>
        <w:t xml:space="preserve"> </w:t>
      </w:r>
      <w:r>
        <w:t xml:space="preserve">The</w:t>
      </w:r>
      <w:r>
        <w:t xml:space="preserve"> </w:t>
      </w:r>
      <w:r>
        <w:t xml:space="preserve">“ASME/API pass = compliance complete”</w:t>
      </w:r>
      <w:r>
        <w:t xml:space="preserve"> </w:t>
      </w:r>
      <w:r>
        <w:t xml:space="preserve">rule used in Table 7 is the prevailing decision rule in current EPC practice, not a benchmark against process engineers performing the same review. A prospective comparison against an independent panel of KOSHA PSM auditors or process engineers — for example, a blind review of system-flagged compliance gaps and inter-rater agreement with the human panel — is documented as future work in §8 Limitation 7 and is required before any claim of inter-rater reliability with human experts can be made.</w:t>
      </w:r>
    </w:p>
    <w:p>
      <w:pPr>
        <w:pStyle w:val="BodyText"/>
      </w:pPr>
      <w:r>
        <w:rPr>
          <w:b/>
          <w:bCs/>
        </w:rPr>
        <w:t xml:space="preserve">Sensitivity analysis and uncertainty.</w:t>
      </w:r>
      <w:r>
        <w:t xml:space="preserve"> </w:t>
      </w:r>
      <w:r>
        <w:t xml:space="preserve">The headline numbers in §6.3 and §6.5 inherit two principal sources of uncertainty: (i) the synthetic golden cases are bounded by the reference examples used as their seeds — a wider seed set could move blocking ratios; (ii) the curated retrieval benchmark of 50 queries is small relative to the 1,327-document corpus and is targeted by construction. We compute the standard error on overall Recall@1 (Enhanced) as</w:t>
      </w:r>
      <w:r>
        <w:t xml:space="preserve"> </w:t>
      </w:r>
      <w:r>
        <w:rPr>
          <w:b/>
          <w:bCs/>
        </w:rPr>
        <w:t xml:space="preserve">0.062</w:t>
      </w:r>
      <w:r>
        <w:t xml:space="preserve"> </w:t>
      </w:r>
      <w:r>
        <w:t xml:space="preserve">from the binomial form (</w:t>
      </w:r>
      <w:r>
        <w:rPr>
          <w:rStyle w:val="VerbatimChar"/>
        </w:rPr>
        <w:t xml:space="preserve">sqrt(p(1-p)/n)</w:t>
      </w:r>
      <w:r>
        <w:t xml:space="preserve">, n=50, p=0.7400), and the paired-bootstrap 95% CI on the +0.30 Recall@1 delta is</w:t>
      </w:r>
      <w:r>
        <w:t xml:space="preserve"> </w:t>
      </w:r>
      <w:r>
        <w:rPr>
          <w:b/>
          <w:bCs/>
        </w:rPr>
        <w:t xml:space="preserve">[+0.14, +0.48]</w:t>
      </w:r>
      <w:r>
        <w:t xml:space="preserve"> </w:t>
      </w:r>
      <w:r>
        <w:t xml:space="preserve">(excludes zero; see Table 6). The MRR@10 delta of +0.2189 has CI</w:t>
      </w:r>
      <w:r>
        <w:t xml:space="preserve"> </w:t>
      </w:r>
      <w:r>
        <w:rPr>
          <w:b/>
          <w:bCs/>
        </w:rPr>
        <w:t xml:space="preserve">[+0.09, +0.35]</w:t>
      </w:r>
      <w:r>
        <w:t xml:space="preserve"> </w:t>
      </w:r>
      <w:r>
        <w:t xml:space="preserve">(also excludes zero).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bookmarkStart w:id="52" w:name="real-plant-pipeline-execution-evidence"/>
    <w:p>
      <w:pPr>
        <w:pStyle w:val="Heading4"/>
      </w:pPr>
      <w:r>
        <w:t xml:space="preserve">6.6.3 Real-plant pipeline-execution evidence</w:t>
      </w:r>
    </w:p>
    <w:p>
      <w:pPr>
        <w:pStyle w:val="FirstParagraph"/>
      </w:pPr>
      <w:r>
        <w:rPr>
          <w:b/>
          <w:bCs/>
        </w:rPr>
        <w:t xml:space="preserve">Headline.</w:t>
      </w:r>
      <w:r>
        <w:t xml:space="preserve"> </w:t>
      </w:r>
      <w:r>
        <w:t xml:space="preserve">Running the unmodified pipeline against an anonymised real-plant data sheet (VES-REAL-001) produces a deterministic ASME UG-27 governing thickness of</w:t>
      </w:r>
      <w:r>
        <w:t xml:space="preserve"> </w:t>
      </w:r>
      <w:r>
        <w:rPr>
          <w:b/>
          <w:bCs/>
        </w:rPr>
        <w:t xml:space="preserve">7.237 mm</w:t>
      </w:r>
      <w:r>
        <w:t xml:space="preserve">. A narrower Korean-term retrieval probe additionally surfaces</w:t>
      </w:r>
      <w:r>
        <w:t xml:space="preserve"> </w:t>
      </w:r>
      <w:r>
        <w:rPr>
          <w:b/>
          <w:bCs/>
        </w:rPr>
        <w:t xml:space="preserve">Article 266</w:t>
      </w:r>
      <w:r>
        <w:t xml:space="preserve"> </w:t>
      </w:r>
      <w:r>
        <w:t xml:space="preserve">(a mandatory KOSHA provision concerning flare-path block-valve prohibition) at</w:t>
      </w:r>
      <w:r>
        <w:t xml:space="preserve"> </w:t>
      </w:r>
      <w:r>
        <w:rPr>
          <w:b/>
          <w:bCs/>
        </w:rPr>
        <w:t xml:space="preserve">rank 5</w:t>
      </w:r>
      <w:r>
        <w:t xml:space="preserve">. We treat this as real-plant pipeline-execution evidence, not external accuracy validation.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w:t>
      </w:r>
      <w:r>
        <w:t xml:space="preserve"> </w:t>
      </w:r>
      <w:r>
        <w:rPr>
          <w:b/>
          <w:bCs/>
        </w:rPr>
        <w:t xml:space="preserve">7.237 mm</w:t>
      </w:r>
      <w:r>
        <w:t xml:space="preserve"> </w:t>
      </w:r>
      <w:r>
        <w:t xml:space="preserve">at the +190 °C side, with the Layer-4 reverse-pressure check closing to within machine epsilon. KOSHA RAG retrieval, executed through the same code path used in §6.5, returns on the spec-faithful Variant A query</w:t>
      </w:r>
      <w:r>
        <w:t xml:space="preserve"> </w:t>
      </w:r>
      <w:r>
        <w:rPr>
          <w:b/>
          <w:bCs/>
        </w:rPr>
        <w:t xml:space="preserve">2 mandatory law-article hits + 8 KOSHA technical guides</w:t>
      </w:r>
      <w:r>
        <w:t xml:space="preserve"> </w:t>
      </w:r>
      <w:r>
        <w:t xml:space="preserve">in the top-10, and on the narrower Variant B Korean-term probe</w:t>
      </w:r>
      <w:r>
        <w:t xml:space="preserve"> </w:t>
      </w:r>
      <w:r>
        <w:rPr>
          <w:b/>
          <w:bCs/>
        </w:rPr>
        <w:t xml:space="preserve">1 mandatory + 9 guidance hits</w:t>
      </w:r>
      <w:r>
        <w:t xml:space="preserve">, with</w:t>
      </w:r>
      <w:r>
        <w:t xml:space="preserve"> </w:t>
      </w:r>
      <w:r>
        <w:rPr>
          <w:b/>
          <w:bCs/>
        </w:rPr>
        <w:t xml:space="preserve">Article 266</w:t>
      </w:r>
      <w:r>
        <w:t xml:space="preserve"> </w:t>
      </w:r>
      <w:r>
        <w:t xml:space="preserve">(block-valve prohibition on flare and relief paths under the</w:t>
      </w:r>
      <w:r>
        <w:t xml:space="preserve"> </w:t>
      </w:r>
      <w:r>
        <w:rPr>
          <w:i/>
          <w:iCs/>
        </w:rPr>
        <w:t xml:space="preserve">Rules on Occupational Safety and Health Standards</w:t>
      </w:r>
      <w:r>
        <w:t xml:space="preserve">) surfacing at</w:t>
      </w:r>
      <w:r>
        <w:t xml:space="preserve"> </w:t>
      </w:r>
      <w:r>
        <w:rPr>
          <w:b/>
          <w:bCs/>
        </w:rPr>
        <w:t xml:space="preserve">rank 5</w:t>
      </w:r>
      <w:r>
        <w:t xml:space="preserve"> </w:t>
      </w:r>
      <w:r>
        <w:t xml:space="preserve">in Variant B. The full evidence — inputs, calculation outputs, retrieval top-10 with BM25 scores and snippets, and the explicit framing as pipeline-execution evidence rather than predictive validation — is reproduced verbatim in Appendix A from</w:t>
      </w:r>
      <w:r>
        <w:t xml:space="preserve"> </w:t>
      </w:r>
      <w:r>
        <w:rPr>
          <w:rStyle w:val="VerbatimChar"/>
        </w:rPr>
        <w:t xml:space="preserve">outputs/real_case_ves001_rag.{json,md}</w:t>
      </w:r>
      <w:r>
        <w:t xml:space="preserve"> </w:t>
      </w:r>
      <w:r>
        <w:t xml:space="preserve">(regenerated by</w:t>
      </w:r>
      <w:r>
        <w:t xml:space="preserve"> </w:t>
      </w:r>
      <w:r>
        <w:rPr>
          <w:rStyle w:val="VerbatimChar"/>
        </w:rPr>
        <w:t xml:space="preserve">scripts/run_real_case_ves001_rag.py</w:t>
      </w:r>
      <w:r>
        <w:t xml:space="preserve">).</w:t>
      </w:r>
    </w:p>
    <w:bookmarkEnd w:id="52"/>
    <w:bookmarkEnd w:id="53"/>
    <w:bookmarkStart w:id="54" w:name="X6762119d985af37c40d83aa7af8b42566e23b89"/>
    <w:p>
      <w:pPr>
        <w:pStyle w:val="Heading3"/>
      </w:pPr>
      <w:r>
        <w:t xml:space="preserve">6.7 Citation Traceability and Negative-Case Evidence</w:t>
      </w:r>
    </w:p>
    <w:p>
      <w:pPr>
        <w:pStyle w:val="FirstParagraph"/>
      </w:pPr>
      <w:r>
        <w:rPr>
          <w:b/>
          <w:bCs/>
        </w:rPr>
        <w:t xml:space="preserve">Citation-traceability precision.</w:t>
      </w:r>
      <w:r>
        <w:t xml:space="preserve"> </w:t>
      </w:r>
      <w:r>
        <w:t xml:space="preserve">Every regulatory grounding produced by the system carries a citation to a</w:t>
      </w:r>
      <w:r>
        <w:t xml:space="preserve"> </w:t>
      </w:r>
      <w:r>
        <w:rPr>
          <w:rStyle w:val="VerbatimChar"/>
        </w:rPr>
        <w:t xml:space="preserve">(reference_code, chunk_id)</w:t>
      </w:r>
      <w:r>
        <w:t xml:space="preserve"> </w:t>
      </w:r>
      <w:r>
        <w:t xml:space="preserve">tuple that resolves to a row in the SQLite FTS5 index (</w:t>
      </w:r>
      <w:r>
        <w:rPr>
          <w:rStyle w:val="VerbatimChar"/>
        </w:rPr>
        <w:t xml:space="preserve">indexed/kosha_rag.db</w:t>
      </w:r>
      <w:r>
        <w:t xml:space="preserve">). The grounding generator (</w:t>
      </w:r>
      <w:r>
        <w:rPr>
          <w:rStyle w:val="VerbatimChar"/>
        </w:rPr>
        <w:t xml:space="preserve">src/rag/local_kosha_rag.py</w:t>
      </w:r>
      <w:r>
        <w:t xml:space="preserve">) refuses to emit advisories whose citation index does not match a passage actually returned by retrieval, so the citation-traceability precision is</w:t>
      </w:r>
      <w:r>
        <w:t xml:space="preserve"> </w:t>
      </w:r>
      <w:r>
        <w:rPr>
          <w:b/>
          <w:bCs/>
        </w:rPr>
        <w:t xml:space="preserve">100% by construction</w:t>
      </w:r>
      <w:r>
        <w:t xml:space="preserve">. We make this an explicit metric to address the well-known LLM-hallucination concern on regulatory-grounded outputs.</w:t>
      </w:r>
    </w:p>
    <w:p>
      <w:pPr>
        <w:pStyle w:val="BodyText"/>
      </w:pPr>
      <w:r>
        <w:rPr>
          <w:b/>
          <w:bCs/>
        </w:rPr>
        <w:t xml:space="preserve">Negative case (no false-positive flag).</w:t>
      </w:r>
      <w:r>
        <w:t xml:space="preserve"> </w:t>
      </w:r>
      <w:r>
        <w:t xml:space="preserve">To address the false-positive concern, we report a representative</w:t>
      </w:r>
      <w:r>
        <w:t xml:space="preserve"> </w:t>
      </w:r>
      <w:r>
        <w:rPr>
          <w:i/>
          <w:iCs/>
        </w:rPr>
        <w:t xml:space="preserve">negative</w:t>
      </w:r>
      <w:r>
        <w:t xml:space="preserve"> </w:t>
      </w:r>
      <w:r>
        <w:t xml:space="preserve">case from the same dataset:</w:t>
      </w:r>
      <w:r>
        <w:t xml:space="preserve"> </w:t>
      </w:r>
      <w:r>
        <w:rPr>
          <w:b/>
          <w:bCs/>
        </w:rPr>
        <w:t xml:space="preserve">PIP-GOLD-003</w:t>
      </w:r>
      <w:r>
        <w:t xml:space="preserve"> </w:t>
      </w:r>
      <w:r>
        <w:t xml:space="preserve">— a stainless-steel SA-312 TP316 ERW line under general (non-corrosive) service conditions (design pressure</w:t>
      </w:r>
      <w:r>
        <w:t xml:space="preserve"> </w:t>
      </w:r>
      <w:r>
        <w:rPr>
          <w:b/>
          <w:bCs/>
        </w:rPr>
        <w:t xml:space="preserve">2.013 MPa</w:t>
      </w:r>
      <w:r>
        <w:t xml:space="preserve">, design temperature</w:t>
      </w:r>
      <w:r>
        <w:t xml:space="preserve"> </w:t>
      </w:r>
      <w:r>
        <w:rPr>
          <w:b/>
          <w:bCs/>
        </w:rPr>
        <w:t xml:space="preserve">119.5 °C</w:t>
      </w:r>
      <w:r>
        <w:t xml:space="preserve">; no chloride or sour-service flag is set in the case spec; verified against</w:t>
      </w:r>
      <w:r>
        <w:t xml:space="preserve"> </w:t>
      </w:r>
      <w:r>
        <w:rPr>
          <w:rStyle w:val="VerbatimChar"/>
        </w:rPr>
        <w:t xml:space="preserve">datasets/golden_standards/piping_golden_dataset_v1.json:PIP-GOLD-003</w:t>
      </w:r>
      <w:r>
        <w:t xml:space="preserve">). The calculation engine returns no red flags (</w:t>
      </w:r>
      <w:r>
        <w:rPr>
          <w:rStyle w:val="VerbatimChar"/>
        </w:rPr>
        <w:t xml:space="preserve">expected_red_flags: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BodyText"/>
      </w:pPr>
      <w:r>
        <w:t xml:space="preserve">The same evidence file records a</w:t>
      </w:r>
      <w:r>
        <w:t xml:space="preserve"> </w:t>
      </w:r>
      <w:r>
        <w:rPr>
          <w:i/>
          <w:iCs/>
        </w:rPr>
        <w:t xml:space="preserve">second</w:t>
      </w:r>
      <w:r>
        <w:t xml:space="preserve"> </w:t>
      </w:r>
      <w:r>
        <w:t xml:space="preserve">probe variant labelled</w:t>
      </w:r>
      <w:r>
        <w:t xml:space="preserve"> </w:t>
      </w:r>
      <w:r>
        <w:rPr>
          <w:rStyle w:val="VerbatimChar"/>
        </w:rPr>
        <w:t xml:space="preserve">mirrored_pip047_form_chloride_terms_removed</w:t>
      </w:r>
      <w:r>
        <w:t xml:space="preserve">, which retains the PIP-GOLD-047 query</w:t>
      </w:r>
      <w:r>
        <w:t xml:space="preserve"> </w:t>
      </w:r>
      <w:r>
        <w:rPr>
          <w:i/>
          <w:iCs/>
        </w:rPr>
        <w:t xml:space="preserve">shape</w:t>
      </w:r>
      <w:r>
        <w:t xml:space="preserve"> </w:t>
      </w:r>
      <w:r>
        <w:t xml:space="preserve">— including the literal phrases</w:t>
      </w:r>
      <w:r>
        <w:t xml:space="preserve"> </w:t>
      </w:r>
      <w:r>
        <w:rPr>
          <w:rStyle w:val="VerbatimChar"/>
        </w:rPr>
        <w:t xml:space="preserve">Article 256</w:t>
      </w:r>
      <w:r>
        <w:t xml:space="preserve"> </w:t>
      </w:r>
      <w:r>
        <w:t xml:space="preserve">and</w:t>
      </w:r>
      <w:r>
        <w:t xml:space="preserve"> </w:t>
      </w:r>
      <w:r>
        <w:rPr>
          <w:rStyle w:val="VerbatimChar"/>
        </w:rPr>
        <w:t xml:space="preserve">corrosion prevention</w:t>
      </w:r>
      <w:r>
        <w:t xml:space="preserve"> </w:t>
      </w:r>
      <w:r>
        <w:t xml:space="preserve">— with only the chloride/sour terms removed; that variant retrieves Article 256 at rank 2, and the report’s headline therefore reads</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 </w:t>
      </w:r>
      <w:r>
        <w:t xml:space="preserve">We retain this second variant in the report rather than suppressing it, because it answers a</w:t>
      </w:r>
      <w:r>
        <w:t xml:space="preserve"> </w:t>
      </w:r>
      <w:r>
        <w:rPr>
          <w:i/>
          <w:iCs/>
        </w:rPr>
        <w:t xml:space="preserve">different</w:t>
      </w:r>
      <w:r>
        <w:t xml:space="preserve"> </w:t>
      </w:r>
      <w:r>
        <w:t xml:space="preserve">question from the negative-case test. The two variants separate two questions:</w:t>
      </w:r>
      <w:r>
        <w:t xml:space="preserve"> </w:t>
      </w:r>
      <w:r>
        <w:rPr>
          <w:b/>
          <w:bCs/>
        </w:rPr>
        <w:t xml:space="preserve">(i)</w:t>
      </w:r>
      <w:r>
        <w:t xml:space="preserve"> </w:t>
      </w:r>
      <w:r>
        <w:rPr>
          <w:i/>
          <w:iCs/>
        </w:rPr>
        <w:t xml:space="preserve">Does the system flag a benign case from its own spec?</w:t>
      </w:r>
      <w:r>
        <w:t xml:space="preserve"> </w:t>
      </w:r>
      <w:r>
        <w:t xml:space="preserve">— the negative-case question proper, answered by the spec-faithful generic-piping-integrity variant (no terms that the case spec does not assert); the answer is</w:t>
      </w:r>
      <w:r>
        <w:t xml:space="preserve"> </w:t>
      </w:r>
      <w:r>
        <w:rPr>
          <w:b/>
          <w:bCs/>
        </w:rPr>
        <w:t xml:space="preserve">no</w:t>
      </w:r>
      <w:r>
        <w:t xml:space="preserve"> </w:t>
      </w:r>
      <w:r>
        <w:t xml:space="preserve">(0 mandatory in top-10).</w:t>
      </w:r>
      <w:r>
        <w:t xml:space="preserve"> </w:t>
      </w:r>
      <w:r>
        <w:rPr>
          <w:b/>
          <w:bCs/>
        </w:rPr>
        <w:t xml:space="preserve">(ii)</w:t>
      </w:r>
      <w:r>
        <w:t xml:space="preserve"> </w:t>
      </w:r>
      <w:r>
        <w:rPr>
          <w:i/>
          <w:iCs/>
        </w:rPr>
        <w:t xml:space="preserve">Does the system retrieve Article 256 when a query explicitly contains the phrases</w:t>
      </w:r>
      <w:r>
        <w:rPr>
          <w:i/>
          <w:iCs/>
        </w:rPr>
        <w:t xml:space="preserve"> </w:t>
      </w:r>
      <w:r>
        <w:rPr>
          <w:i/>
          <w:iCs/>
        </w:rPr>
        <w:t xml:space="preserve">“Article 256”</w:t>
      </w:r>
      <w:r>
        <w:rPr>
          <w:i/>
          <w:iCs/>
        </w:rPr>
        <w:t xml:space="preserve"> </w:t>
      </w:r>
      <w:r>
        <w:rPr>
          <w:i/>
          <w:iCs/>
        </w:rPr>
        <w:t xml:space="preserve">and</w:t>
      </w:r>
      <w:r>
        <w:rPr>
          <w:i/>
          <w:iCs/>
        </w:rPr>
        <w:t xml:space="preserve"> </w:t>
      </w:r>
      <w:r>
        <w:rPr>
          <w:i/>
          <w:iCs/>
        </w:rPr>
        <w:t xml:space="preserve">“corrosion prevention”</w:t>
      </w:r>
      <w:r>
        <w:rPr>
          <w:i/>
          <w:iCs/>
        </w:rPr>
        <w:t xml:space="preserve">?</w:t>
      </w:r>
      <w:r>
        <w:t xml:space="preserve"> </w:t>
      </w:r>
      <w:r>
        <w:t xml:space="preserve">— a question of retrieval correctness, not of negative-case behaviour, answered by the second variant; the answer is</w:t>
      </w:r>
      <w:r>
        <w:t xml:space="preserve"> </w:t>
      </w:r>
      <w:r>
        <w:rPr>
          <w:b/>
          <w:bCs/>
        </w:rPr>
        <w:t xml:space="preserve">yes</w:t>
      </w:r>
      <w:r>
        <w:t xml:space="preserve"> </w:t>
      </w:r>
      <w:r>
        <w:t xml:space="preserve">(Article 256 at rank 2), which is the</w:t>
      </w:r>
      <w:r>
        <w:t xml:space="preserve"> </w:t>
      </w:r>
      <w:r>
        <w:rPr>
          <w:i/>
          <w:iCs/>
        </w:rPr>
        <w:t xml:space="preserve">desired</w:t>
      </w:r>
      <w:r>
        <w:t xml:space="preserve"> </w:t>
      </w:r>
      <w:r>
        <w:t xml:space="preserve">retrieval behaviour because Article 256 is the Korean statute on corrosion prevention and BM25 is responding correctly to the keywords supplied. The §6.7 negative-case argument here concerns (i); the (ii) probe is reported in the same evidence file for honest disclosure.</w:t>
      </w:r>
    </w:p>
    <w:p>
      <w:r>
        <w:pict>
          <v:rect style="width:0;height:1.5pt" o:hralign="center" o:hrstd="t" o:hr="t"/>
        </w:pict>
      </w:r>
    </w:p>
    <w:bookmarkEnd w:id="54"/>
    <w:bookmarkEnd w:id="55"/>
    <w:bookmarkStart w:id="62" w:name="discussion"/>
    <w:p>
      <w:pPr>
        <w:pStyle w:val="Heading2"/>
      </w:pPr>
      <w:r>
        <w:t xml:space="preserve">7. Discussion</w:t>
      </w:r>
    </w:p>
    <w:p>
      <w:pPr>
        <w:pStyle w:val="FirstParagraph"/>
      </w:pPr>
      <w:r>
        <w:t xml:space="preserve">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p>
    <w:bookmarkStart w:id="56" w:name="the-jurisdiction-compliance-gap"/>
    <w:p>
      <w:pPr>
        <w:pStyle w:val="Heading3"/>
      </w:pPr>
      <w:r>
        <w:t xml:space="preserve">7.1 The jurisdiction compliance gap</w:t>
      </w:r>
    </w:p>
    <w:p>
      <w:pPr>
        <w:pStyle w:val="FirstParagraph"/>
      </w:pPr>
      <w:r>
        <w:t xml:space="preserve">The most significant finding of this study is the existence of the</w:t>
      </w:r>
      <w:r>
        <w:t xml:space="preserve"> </w:t>
      </w:r>
      <w:r>
        <w:rPr>
          <w:b/>
          <w:bCs/>
        </w:rPr>
        <w:t xml:space="preserve">jurisdiction compliance gap</w:t>
      </w:r>
      <w:r>
        <w:t xml:space="preserve">, defined as follows:</w:t>
      </w:r>
    </w:p>
    <w:p>
      <w:pPr>
        <w:pStyle w:val="BlockText"/>
      </w:pPr>
      <w:r>
        <w:rPr>
          <w:b/>
          <w:bCs/>
        </w:rPr>
        <w:t xml:space="preserve">Jurisdiction compliance gap.</w:t>
      </w:r>
      <w:r>
        <w:t xml:space="preserve"> </w:t>
      </w:r>
      <w:r>
        <w:t xml:space="preserve">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w:t>
      </w:r>
    </w:p>
    <w:p>
      <w:pPr>
        <w:pStyle w:val="FirstParagraph"/>
      </w:pPr>
      <w:r>
        <w:t xml:space="preserve">Even where international code calculations produce a clean pass, the KOSHA RAG layer can identify additional Korean-jurisdiction compliance requirements. This occurs because ASME, API, and analogous international standards define</w:t>
      </w:r>
      <w:r>
        <w:t xml:space="preserve"> </w:t>
      </w:r>
      <w:r>
        <w:rPr>
          <w:b/>
          <w:bCs/>
        </w:rPr>
        <w:t xml:space="preserve">technical</w:t>
      </w:r>
      <w:r>
        <w:t xml:space="preserve"> </w:t>
      </w:r>
      <w:r>
        <w:t xml:space="preserve">calculation requirements, whereas KOSHA guidelines and Korean safety regulations — including Article 256 of the</w:t>
      </w:r>
      <w:r>
        <w:t xml:space="preserve"> </w:t>
      </w:r>
      <w:r>
        <w:rPr>
          <w:i/>
          <w:iCs/>
        </w:rPr>
        <w:t xml:space="preserve">Rules on Occupational Safety and Health Standards</w:t>
      </w:r>
      <w:r>
        <w:t xml:space="preserve"> </w:t>
      </w:r>
      <w:r>
        <w:t xml:space="preserve">— impose</w:t>
      </w:r>
      <w:r>
        <w:t xml:space="preserve"> </w:t>
      </w:r>
      <w:r>
        <w:rPr>
          <w:b/>
          <w:bCs/>
        </w:rPr>
        <w:t xml:space="preserve">procedural, documentation, and trigger-driven</w:t>
      </w:r>
      <w:r>
        <w:t xml:space="preserve"> </w:t>
      </w:r>
      <w:r>
        <w:t xml:space="preserve">obligations conditioned on calculation outputs but not encoded within the international standards themselves. The gap is structurally present whether the calculation arises from a design-phase check or an in-service inspection assessment.</w:t>
      </w:r>
    </w:p>
    <w:bookmarkEnd w:id="56"/>
    <w:bookmarkStart w:id="57" w:name="Xab6664ad8af9c4c62e6be091d71c0a06171b422"/>
    <w:p>
      <w:pPr>
        <w:pStyle w:val="Heading3"/>
      </w:pPr>
      <w:r>
        <w:t xml:space="preserve">7.2 Compliance co-pilot, not replacement: HAZOP / RBI / Digital Twin / Regulatory RAG</w:t>
      </w:r>
    </w:p>
    <w:p>
      <w:pPr>
        <w:pStyle w:val="FirstParagraph"/>
      </w:pPr>
      <w:r>
        <w:t xml:space="preserve">A persistent risk in publishing AI-assisted safety tooling is the implicit suggestion that the tool replaces an existing human or workshop-based method. We make the opposite claim explicitly. The framework is positioned as a</w:t>
      </w:r>
      <w:r>
        <w:t xml:space="preserve"> </w:t>
      </w:r>
      <w:r>
        <w:rPr>
          <w:b/>
          <w:bCs/>
        </w:rPr>
        <w:t xml:space="preserve">compliance co-pilot</w:t>
      </w:r>
      <w:r>
        <w:t xml:space="preserve"> </w:t>
      </w:r>
      <w:r>
        <w:t xml:space="preserve">to existing methods; Table 8 contrasts it with HAZOP, RBI, and Digital Twin.</w:t>
      </w:r>
    </w:p>
    <w:p>
      <w:pPr>
        <w:pStyle w:val="Body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odyText"/>
      </w:pPr>
      <w:r>
        <w:t xml:space="preserve">The four operational touchpoints are:</w:t>
      </w:r>
    </w:p>
    <w:p>
      <w:pPr>
        <w:pStyle w:val="Compact"/>
        <w:numPr>
          <w:ilvl w:val="0"/>
          <w:numId w:val="1002"/>
        </w:numPr>
      </w:pPr>
      <w:r>
        <w:rPr>
          <w:b/>
          <w:bCs/>
        </w:rPr>
        <w:t xml:space="preserve">Before HAZOP</w:t>
      </w:r>
      <w:r>
        <w:t xml:space="preserve"> </w:t>
      </w:r>
      <w:r>
        <w:t xml:space="preserve">— identify mandatory regulatory nodes that the workshop must address.</w:t>
      </w:r>
    </w:p>
    <w:p>
      <w:pPr>
        <w:pStyle w:val="Compact"/>
        <w:numPr>
          <w:ilvl w:val="0"/>
          <w:numId w:val="1002"/>
        </w:numPr>
      </w:pPr>
      <w:r>
        <w:rPr>
          <w:b/>
          <w:bCs/>
        </w:rPr>
        <w:t xml:space="preserve">During design review</w:t>
      </w:r>
      <w:r>
        <w:t xml:space="preserve"> </w:t>
      </w:r>
      <w:r>
        <w:t xml:space="preserve">— detect missing legal requirements before the design freezes.</w:t>
      </w:r>
    </w:p>
    <w:p>
      <w:pPr>
        <w:pStyle w:val="Compact"/>
        <w:numPr>
          <w:ilvl w:val="0"/>
          <w:numId w:val="1002"/>
        </w:numPr>
      </w:pPr>
      <w:r>
        <w:rPr>
          <w:b/>
          <w:bCs/>
        </w:rPr>
        <w:t xml:space="preserve">During RBI</w:t>
      </w:r>
      <w:r>
        <w:t xml:space="preserve"> </w:t>
      </w:r>
      <w:r>
        <w:t xml:space="preserve">— check whether local inspection triggers are satisfied beyond the API calendar.</w:t>
      </w:r>
    </w:p>
    <w:p>
      <w:pPr>
        <w:pStyle w:val="Compact"/>
        <w:numPr>
          <w:ilvl w:val="0"/>
          <w:numId w:val="1002"/>
        </w:numPr>
      </w:pPr>
      <w:r>
        <w:rPr>
          <w:b/>
          <w:bCs/>
        </w:rPr>
        <w:t xml:space="preserve">During digital-twin operation</w:t>
      </w:r>
      <w:r>
        <w:t xml:space="preserve"> </w:t>
      </w:r>
      <w:r>
        <w:t xml:space="preserve">— flag live compliance gaps as plant state evolves.</w:t>
      </w:r>
    </w:p>
    <w:p>
      <w:pPr>
        <w:pStyle w:val="FirstParagraph"/>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 Two roles bracket the temporal axis:</w:t>
      </w:r>
    </w:p>
    <w:p>
      <w:pPr>
        <w:pStyle w:val="BodyText"/>
      </w:pPr>
      <w:r>
        <w:rPr>
          <w:b/>
          <w:bCs/>
        </w:rPr>
        <w:t xml:space="preserve">Table 9. Auditor vs Advisor — temporal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When</w:t>
            </w:r>
          </w:p>
        </w:tc>
      </w:tr>
      <w:tr>
        <w:tc>
          <w:tcPr/>
          <w:p>
            <w:pPr>
              <w:pStyle w:val="Compact"/>
            </w:pPr>
            <w:r>
              <w:t xml:space="preserve">Auditor</w:t>
            </w:r>
          </w:p>
        </w:tc>
        <w:tc>
          <w:tcPr/>
          <w:p>
            <w:pPr>
              <w:pStyle w:val="Compact"/>
            </w:pPr>
            <w:r>
              <w:t xml:space="preserve">After work is done</w:t>
            </w:r>
          </w:p>
        </w:tc>
      </w:tr>
      <w:tr>
        <w:tc>
          <w:tcPr/>
          <w:p>
            <w:pPr>
              <w:pStyle w:val="Compact"/>
            </w:pPr>
            <w:r>
              <w:t xml:space="preserve">Advisor</w:t>
            </w:r>
          </w:p>
        </w:tc>
        <w:tc>
          <w:tcPr/>
          <w:p>
            <w:pPr>
              <w:pStyle w:val="Compact"/>
            </w:pPr>
            <w:r>
              <w:t xml:space="preserve">While work is being done</w:t>
            </w:r>
          </w:p>
        </w:tc>
      </w:tr>
    </w:tbl>
    <w:p>
      <w:pPr>
        <w:pStyle w:val="BodyText"/>
      </w:pPr>
      <w:r>
        <w:t xml:space="preserve">The proposed system supports both roles depending on where in the workflow it is invoked.</w:t>
      </w:r>
    </w:p>
    <w:bookmarkEnd w:id="57"/>
    <w:bookmarkStart w:id="58" w:name="X06bb7d75250e23719f7a8983769e657c0aee5f5"/>
    <w:p>
      <w:pPr>
        <w:pStyle w:val="Heading3"/>
      </w:pPr>
      <w:r>
        <w:t xml:space="preserve">7.3 HAZOP scope: knowledge-based / AI-assisted, not a replacement for dynamic HAZOP</w:t>
      </w:r>
    </w:p>
    <w:p>
      <w:pPr>
        <w:pStyle w:val="FirstParagraph"/>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bookmarkEnd w:id="58"/>
    <w:bookmarkStart w:id="59" w:name="fitness-for-service-vs-epc-standards"/>
    <w:p>
      <w:pPr>
        <w:pStyle w:val="Heading3"/>
      </w:pPr>
      <w:r>
        <w:t xml:space="preserve">7.4 Fitness-for-Service vs EPC standards</w:t>
      </w:r>
    </w:p>
    <w:p>
      <w:pPr>
        <w:pStyle w:val="FirstParagraph"/>
      </w:pPr>
      <w:r>
        <w:t xml:space="preserve">API 579-1 fitness-for-service (FFS) [17]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detection to follow the asset across its lifecycle without a methodology switch.</w:t>
      </w:r>
    </w:p>
    <w:bookmarkEnd w:id="59"/>
    <w:bookmarkStart w:id="60" w:name="process-safety-contribution"/>
    <w:p>
      <w:pPr>
        <w:pStyle w:val="Heading3"/>
      </w:pPr>
      <w:r>
        <w:t xml:space="preserve">7.5 Process-safety contribution</w:t>
      </w:r>
    </w:p>
    <w:p>
      <w:pPr>
        <w:pStyle w:val="FirstParagraph"/>
      </w:pPr>
      <w:r>
        <w:t xml:space="preserve">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w:t>
      </w:r>
      <w:r>
        <w:t xml:space="preserve"> </w:t>
      </w:r>
      <w:r>
        <w:t xml:space="preserve">“compliant”</w:t>
      </w:r>
      <w:r>
        <w:t xml:space="preserve"> </w:t>
      </w:r>
      <w:r>
        <w:t xml:space="preserve">under current EPC review practice. An anonymised real-plant cryogenic flare-drum data sheet is run end-to-end through the pipeline in Appendix A (VES-REAL-001), confirming that the architecture handles real EPC inputs and surfaces a mandatory KOSHA provision (Article 266 — flare-path block-valve prohibition) for that service.</w:t>
      </w:r>
    </w:p>
    <w:bookmarkEnd w:id="60"/>
    <w:bookmarkStart w:id="61" w:name="reproducibility-and-explainability"/>
    <w:p>
      <w:pPr>
        <w:pStyle w:val="Heading3"/>
      </w:pPr>
      <w:r>
        <w:t xml:space="preserve">7.6 Reproducibility and explainability</w:t>
      </w:r>
    </w:p>
    <w:p>
      <w:pPr>
        <w:pStyle w:val="FirstParagraph"/>
      </w:pPr>
      <w:r>
        <w:t xml:space="preserve">The architecture prioritises reproducibility and explainability. Every major calculation step carries an explicit standard citation; every regulatory grounding carries a</w:t>
      </w:r>
      <w:r>
        <w:t xml:space="preserve"> </w:t>
      </w:r>
      <w:r>
        <w:rPr>
          <w:rStyle w:val="VerbatimChar"/>
        </w:rPr>
        <w:t xml:space="preserve">(reference_code, chunk_id)</w:t>
      </w:r>
      <w:r>
        <w:t xml:space="preserve"> </w:t>
      </w:r>
      <w:r>
        <w:t xml:space="preserve">traceable to the SQLite index; the golden dataset, the 60-scenario ablation set, the 50-query benchmark, and the orchestration scripts are publicly released, enabling independent replication on commodity hardware with CPU resources and an Ollama installation.</w:t>
      </w:r>
    </w:p>
    <w:p>
      <w:r>
        <w:pict>
          <v:rect style="width:0;height:1.5pt" o:hralign="center" o:hrstd="t" o:hr="t"/>
        </w:pict>
      </w:r>
    </w:p>
    <w:bookmarkEnd w:id="61"/>
    <w:bookmarkEnd w:id="62"/>
    <w:bookmarkStart w:id="63" w:name="limitations-and-future-work"/>
    <w:p>
      <w:pPr>
        <w:pStyle w:val="Heading2"/>
      </w:pPr>
      <w:r>
        <w:t xml:space="preserve">8. Limitations and Future Work</w:t>
      </w:r>
    </w:p>
    <w:p>
      <w:pPr>
        <w:pStyle w:val="FirstParagraph"/>
      </w:pPr>
      <w:r>
        <w:t xml:space="preserve">This study has the following limitations.</w:t>
      </w:r>
    </w:p>
    <w:p>
      <w:pPr>
        <w:pStyle w:val="Compact"/>
        <w:numPr>
          <w:ilvl w:val="0"/>
          <w:numId w:val="1003"/>
        </w:numPr>
      </w:pPr>
      <w:r>
        <w:rPr>
          <w:b/>
          <w:bCs/>
        </w:rPr>
        <w:t xml:space="preserve">Synthetic dataset.</w:t>
      </w:r>
      <w:r>
        <w:t xml:space="preserve"> </w:t>
      </w:r>
      <w:r>
        <w:t xml:space="preserve">The golden dataset is entirely synthetic; no external validation against real plant operating or design-phase data has been performed. The 220-case accuracy reported in §6.1 constitutes standards-faithful</w:t>
      </w:r>
      <w:r>
        <w:t xml:space="preserve"> </w:t>
      </w:r>
      <w:r>
        <w:rPr>
          <w:b/>
          <w:bCs/>
        </w:rPr>
        <w:t xml:space="preserve">implementation verification</w:t>
      </w:r>
      <w:r>
        <w:t xml:space="preserve">, not predictive validation against operating-record outcomes.</w:t>
      </w:r>
    </w:p>
    <w:p>
      <w:pPr>
        <w:pStyle w:val="Compact"/>
        <w:numPr>
          <w:ilvl w:val="0"/>
          <w:numId w:val="1003"/>
        </w:numPr>
      </w:pPr>
      <w:r>
        <w:rPr>
          <w:b/>
          <w:bCs/>
        </w:rPr>
        <w:t xml:space="preserve">Screening-level domain outputs.</w:t>
      </w:r>
      <w:r>
        <w:t xml:space="preserve"> </w:t>
      </w:r>
      <w:r>
        <w:t xml:space="preserve">Some domain outputs represent screening-level assessments and cannot substitute for detailed engineering design review.</w:t>
      </w:r>
    </w:p>
    <w:p>
      <w:pPr>
        <w:pStyle w:val="Compact"/>
        <w:numPr>
          <w:ilvl w:val="0"/>
          <w:numId w:val="1003"/>
        </w:numPr>
      </w:pPr>
      <w:r>
        <w:rPr>
          <w:b/>
          <w:bCs/>
        </w:rPr>
        <w:t xml:space="preserve">Curated retrieval benchmark.</w:t>
      </w:r>
      <w:r>
        <w:t xml:space="preserve"> </w:t>
      </w:r>
      <w:r>
        <w:t xml:space="preserve">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w:t>
      </w:r>
    </w:p>
    <w:p>
      <w:pPr>
        <w:pStyle w:val="Compact"/>
        <w:numPr>
          <w:ilvl w:val="0"/>
          <w:numId w:val="1003"/>
        </w:numPr>
      </w:pPr>
      <w:r>
        <w:rPr>
          <w:b/>
          <w:bCs/>
        </w:rPr>
        <w:t xml:space="preserve">Coupling pair coverage.</w:t>
      </w:r>
      <w:r>
        <w:t xml:space="preserve"> </w:t>
      </w:r>
      <w:r>
        <w:t xml:space="preserve">The cross-discipline coupling validation is limited to ten predefined domain pairs. Cross-discipline evidence is currently strongest in piping-vessel coupling (22 of 26 ablation detections) and should not yet be overgeneralized to all seven discipline pairs.</w:t>
      </w:r>
    </w:p>
    <w:p>
      <w:pPr>
        <w:pStyle w:val="Compact"/>
        <w:numPr>
          <w:ilvl w:val="0"/>
          <w:numId w:val="1003"/>
        </w:numPr>
      </w:pPr>
      <w:r>
        <w:rPr>
          <w:b/>
          <w:bCs/>
        </w:rPr>
        <w:t xml:space="preserve">Comparison scope.</w:t>
      </w:r>
      <w:r>
        <w:t xml:space="preserve"> </w:t>
      </w:r>
      <w:r>
        <w:t xml:space="preserve">The reported comparisons are an industry-baseline comparison (</w:t>
      </w:r>
      <w:r>
        <w:t xml:space="preserve">“ASME/API pass = compliance complete”</w:t>
      </w:r>
      <w:r>
        <w:t xml:space="preserve">) and internal ablations; no third-party head-to-head against a comparable KOSHA-aware multi-discipline system exists because, to our knowledge, no such system has been published.</w:t>
      </w:r>
    </w:p>
    <w:p>
      <w:pPr>
        <w:pStyle w:val="Compact"/>
        <w:numPr>
          <w:ilvl w:val="0"/>
          <w:numId w:val="1003"/>
        </w:numPr>
      </w:pPr>
      <w:r>
        <w:rPr>
          <w:b/>
          <w:bCs/>
        </w:rPr>
        <w:t xml:space="preserve">Twelve omitted law-article rows.</w:t>
      </w:r>
      <w:r>
        <w:t xml:space="preserve"> </w:t>
      </w:r>
      <w:r>
        <w:t xml:space="preserve">Twelve of 3,102 law-article rows were excluded from the index because their statutory body text was empty in the source API response. Triage of the twelve (</w:t>
      </w:r>
      <w:r>
        <w:rPr>
          <w:rStyle w:val="VerbatimChar"/>
        </w:rPr>
        <w:t xml:space="preserve">outputs/kosha_missing_articles_report.md</w:t>
      </w:r>
      <w:r>
        <w:t xml:space="preserve">) finds</w:t>
      </w:r>
      <w:r>
        <w:t xml:space="preserve"> </w:t>
      </w:r>
      <w:r>
        <w:rPr>
          <w:b/>
          <w:bCs/>
        </w:rPr>
        <w:t xml:space="preserve">four are repealed (</w:t>
      </w:r>
      <w:r>
        <w:rPr>
          <w:rStyle w:val="VerbatimChar"/>
          <w:b/>
          <w:bCs/>
        </w:rPr>
        <w:t xml:space="preserve">삭제</w:t>
      </w:r>
      <w:r>
        <w:rPr>
          <w:b/>
          <w:bCs/>
        </w:rPr>
        <w:t xml:space="preserve">) provisions</w:t>
      </w:r>
      <w:r>
        <w:t xml:space="preserve"> </w:t>
      </w:r>
      <w:r>
        <w:t xml:space="preserve">for which an empty body is expected and the row is correctly excluded from the searchable index; the</w:t>
      </w:r>
      <w:r>
        <w:t xml:space="preserve"> </w:t>
      </w:r>
      <w:r>
        <w:rPr>
          <w:b/>
          <w:bCs/>
        </w:rPr>
        <w:t xml:space="preserve">remaining eight require a JS-rendered re-fetch</w:t>
      </w:r>
      <w:r>
        <w:t xml:space="preserve"> </w:t>
      </w:r>
      <w:r>
        <w:t xml:space="preserve">from the National Law Information Center (</w:t>
      </w:r>
      <w:r>
        <w:rPr>
          <w:rStyle w:val="VerbatimChar"/>
        </w:rPr>
        <w:t xml:space="preserve">law.go.kr/lsScJoRltInfoR.do</w:t>
      </w:r>
      <w:r>
        <w:t xml:space="preserve"> </w:t>
      </w:r>
      <w:r>
        <w:t xml:space="preserve">returns a single-page-application shell rather than the article body, and the KOSHA Smart-search endpoint cannot retrieve these specific records by</w:t>
      </w:r>
      <w:r>
        <w:t xml:space="preserve"> </w:t>
      </w:r>
      <w:r>
        <w:rPr>
          <w:rStyle w:val="VerbatimChar"/>
        </w:rPr>
        <w:t xml:space="preserve">doc_id</w:t>
      </w:r>
      <w:r>
        <w:t xml:space="preserve">). A Playwright-based scraper or migration to an alternate KOSHA OpenAPI endpoint that exposes article bodies by</w:t>
      </w:r>
      <w:r>
        <w:t xml:space="preserve"> </w:t>
      </w:r>
      <w:r>
        <w:rPr>
          <w:rStyle w:val="VerbatimChar"/>
        </w:rPr>
        <w:t xml:space="preserve">doc_id</w:t>
      </w:r>
      <w:r>
        <w:t xml:space="preserve"> </w:t>
      </w:r>
      <w:r>
        <w:t xml:space="preserve">is documented as the engineering follow-up; this is not a research limitation.</w:t>
      </w:r>
    </w:p>
    <w:p>
      <w:pPr>
        <w:pStyle w:val="Compact"/>
        <w:numPr>
          <w:ilvl w:val="0"/>
          <w:numId w:val="1003"/>
        </w:numPr>
      </w:pPr>
      <w:r>
        <w:rPr>
          <w:b/>
          <w:bCs/>
        </w:rPr>
        <w:t xml:space="preserve">Independent expert validation.</w:t>
      </w:r>
      <w:r>
        <w:t xml:space="preserve"> </w:t>
      </w:r>
      <w:r>
        <w:t xml:space="preserve">The principal author has 12+ years of petrochemical EPC experience; calculation-engine rules and case construction encode that domain practice. Independent validation by a disjoint expert panel — for example, a blind review of system-flagged compliance gaps by external KOSHA PSM auditors — is left to future work and is required before any claim of inter-rater reliability can be made.</w:t>
      </w:r>
    </w:p>
    <w:p>
      <w:pPr>
        <w:pStyle w:val="Compact"/>
        <w:numPr>
          <w:ilvl w:val="0"/>
          <w:numId w:val="1003"/>
        </w:numPr>
      </w:pPr>
      <w:r>
        <w:rPr>
          <w:b/>
          <w:bCs/>
        </w:rPr>
        <w:t xml:space="preserve">Per-discipline accuracy is self-consistency, not external fidelity.</w:t>
      </w:r>
      <w:r>
        <w:t xml:space="preserve"> </w:t>
      </w:r>
      <w:r>
        <w:t xml:space="preserve">The 1.0000 per-discipline accuracy in Appendix B.1 measures runtime conformance to expected outputs that were themselves generated by the same calculation engine. It is not external fidelity to a separately validated reference. The</w:t>
      </w:r>
      <w:r>
        <w:t xml:space="preserve"> </w:t>
      </w:r>
      <w:r>
        <w:t xml:space="preserve">“implementation verification, not predictive validation”</w:t>
      </w:r>
      <w:r>
        <w:t xml:space="preserve"> </w:t>
      </w:r>
      <w:r>
        <w:t xml:space="preserve">framing of §6.1 applies; field-data validation is documented under future research direction (1).</w:t>
      </w:r>
    </w:p>
    <w:p>
      <w:pPr>
        <w:pStyle w:val="FirstParagraph"/>
      </w:pPr>
      <w:r>
        <w:t xml:space="preserve">Future research directions include: (1)</w:t>
      </w:r>
      <w:r>
        <w:t xml:space="preserve"> </w:t>
      </w:r>
      <w:r>
        <w:rPr>
          <w:b/>
          <w:bCs/>
        </w:rPr>
        <w:t xml:space="preserve">field pilot validation</w:t>
      </w:r>
      <w:r>
        <w:t xml:space="preserve"> </w:t>
      </w:r>
      <w:r>
        <w:t xml:space="preserve">using real plant data — both design-phase engineering calculations and operating-plant inspection records — to calibrate synthetic thresholds and regulatory trigger conditions; (2)</w:t>
      </w:r>
      <w:r>
        <w:t xml:space="preserve"> </w:t>
      </w:r>
      <w:r>
        <w:rPr>
          <w:b/>
          <w:bCs/>
        </w:rPr>
        <w:t xml:space="preserve">integration with RBI and HAZOP workflows</w:t>
      </w:r>
      <w:r>
        <w:t xml:space="preserve"> </w:t>
      </w:r>
      <w:r>
        <w:t xml:space="preserve">to connect system outputs directly with existing PSM documentation; (3) transition to</w:t>
      </w:r>
      <w:r>
        <w:t xml:space="preserve"> </w:t>
      </w:r>
      <w:r>
        <w:rPr>
          <w:b/>
          <w:bCs/>
        </w:rPr>
        <w:t xml:space="preserve">semantic vector search</w:t>
      </w:r>
      <w:r>
        <w:t xml:space="preserve"> </w:t>
      </w:r>
      <w:r>
        <w:t xml:space="preserve">using a Korean embedding model in GPU-capable deployment environments; (4)</w:t>
      </w:r>
      <w:r>
        <w:t xml:space="preserve"> </w:t>
      </w:r>
      <w:r>
        <w:rPr>
          <w:b/>
          <w:bCs/>
        </w:rPr>
        <w:t xml:space="preserve">systematic expansion</w:t>
      </w:r>
      <w:r>
        <w:t xml:space="preserve"> </w:t>
      </w:r>
      <w:r>
        <w:t xml:space="preserve">of the cross-discipline coupling pair set beyond the current ten pairs; and (5) a dedicated</w:t>
      </w:r>
      <w:r>
        <w:t xml:space="preserve"> </w:t>
      </w:r>
      <w:r>
        <w:rPr>
          <w:b/>
          <w:bCs/>
        </w:rPr>
        <w:t xml:space="preserve">prospective study</w:t>
      </w:r>
      <w:r>
        <w:t xml:space="preserve"> </w:t>
      </w:r>
      <w:r>
        <w:t xml:space="preserve">comparing system-flagged regulatory obligations with the findings of independent KOSHA PSM auditors on the same plant package.</w:t>
      </w:r>
    </w:p>
    <w:p>
      <w:r>
        <w:pict>
          <v:rect style="width:0;height:1.5pt" o:hralign="center" o:hrstd="t" o:hr="t"/>
        </w:pict>
      </w:r>
    </w:p>
    <w:bookmarkEnd w:id="63"/>
    <w:bookmarkStart w:id="64" w:name="conclusion"/>
    <w:p>
      <w:pPr>
        <w:pStyle w:val="Heading2"/>
      </w:pPr>
      <w:r>
        <w:t xml:space="preserve">9. Conclusion</w:t>
      </w:r>
    </w:p>
    <w:p>
      <w:pPr>
        <w:pStyle w:val="FirstParagraph"/>
      </w:pPr>
      <w:r>
        <w:t xml:space="preserve">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identifies jurisdiction compliance gaps structurally invisible to international-code-only calculation workflows; under the prevailing industry baseline, those same three cases yield 0/3 detections versus 3/3 for the proposed system. Case 3, in which Article 256 corrosion-prevention obligations are detected despite a full ASME/API calculation pass, clearly delineates the structural limitation of calculation-only engineering review.</w:t>
      </w:r>
    </w:p>
    <w:p>
      <w:pPr>
        <w:pStyle w:val="BodyText"/>
      </w:pPr>
      <w:r>
        <w:t xml:space="preserve">The framework is positioned as a</w:t>
      </w:r>
      <w:r>
        <w:t xml:space="preserve"> </w:t>
      </w:r>
      <w:r>
        <w:rPr>
          <w:b/>
          <w:bCs/>
        </w:rPr>
        <w:t xml:space="preserve">compliance co-pilot</w:t>
      </w:r>
      <w:r>
        <w:t xml:space="preserve"> </w:t>
      </w:r>
      <w:r>
        <w:t xml:space="preserve">for HAZOP, RBI, and digital-twin workflows, not as a replacement for them. Code, golden datasets, the curated benchmark, and the index manifest are publicly released under AGPL-3.0. Future work will focus on field pilot validation with real plant data, prospective comparison with independent KOSHA PSM auditors, transition to semantic vector search, and systematic expansion of the cross-discipline coupling pair set.</w:t>
      </w:r>
    </w:p>
    <w:p>
      <w:r>
        <w:pict>
          <v:rect style="width:0;height:1.5pt" o:hralign="center" o:hrstd="t" o:hr="t"/>
        </w:pict>
      </w:r>
    </w:p>
    <w:bookmarkEnd w:id="64"/>
    <w:bookmarkStart w:id="65" w:name="acknowledgements"/>
    <w:p>
      <w:pPr>
        <w:pStyle w:val="Heading2"/>
      </w:pPr>
      <w:r>
        <w:t xml:space="preserve">Acknowledgements</w:t>
      </w:r>
    </w:p>
    <w:p>
      <w:pPr>
        <w:pStyle w:val="FirstParagraph"/>
      </w:pPr>
      <w:r>
        <w:t xml:space="preserve">The author thanks the Korea Occupational Safety and Health Agency for maintaining open access to the KOSHA Smart-search and KOSHA Guide APIs, without which the regulatory corpus could not have been assembled.</w:t>
      </w:r>
    </w:p>
    <w:p>
      <w:r>
        <w:pict>
          <v:rect style="width:0;height:1.5pt" o:hralign="center" o:hrstd="t" o:hr="t"/>
        </w:pict>
      </w:r>
    </w:p>
    <w:bookmarkEnd w:id="65"/>
    <w:bookmarkStart w:id="67" w:name="code-and-data-availability"/>
    <w:p>
      <w:pPr>
        <w:pStyle w:val="Heading2"/>
      </w:pPr>
      <w:r>
        <w:t xml:space="preserve">Code and Data Availability</w:t>
      </w:r>
    </w:p>
    <w:p>
      <w:pPr>
        <w:pStyle w:val="FirstParagraph"/>
      </w:pPr>
      <w:r>
        <w:t xml:space="preserve">Source code, golden datasets, the 60-scenario ablation set, the 50-query curated retrieval benchmark, the SQLite FTS5 index manifest, and the orchestration scripts are publicly released under the AGPL-3.0 license at</w:t>
      </w:r>
      <w:r>
        <w:t xml:space="preserve"> </w:t>
      </w:r>
      <w:hyperlink r:id="rId66">
        <w:r>
          <w:rPr>
            <w:rStyle w:val="Hyperlink"/>
          </w:rPr>
          <w:t xml:space="preserve">https://github.com/yuyongkim/did-you-check-kosha</w:t>
        </w:r>
      </w:hyperlink>
      <w:r>
        <w:t xml:space="preserve"> </w:t>
      </w:r>
      <w:r>
        <w:t xml:space="preserve">(revision tag:</w:t>
      </w:r>
      <w:r>
        <w:t xml:space="preserve"> </w:t>
      </w:r>
      <w:r>
        <w:rPr>
          <w:rStyle w:val="VerbatimChar"/>
        </w:rPr>
        <w:t xml:space="preserve">jlp-revised-v1</w:t>
      </w:r>
      <w:r>
        <w:t xml:space="preserve">). A detailed code-to-paper mapping is provided in</w:t>
      </w:r>
      <w:r>
        <w:t xml:space="preserve"> </w:t>
      </w:r>
      <w:r>
        <w:rPr>
          <w:rStyle w:val="VerbatimChar"/>
        </w:rPr>
        <w:t xml:space="preserve">docs/publication/CODE_MAP.md</w:t>
      </w:r>
      <w:r>
        <w:t xml:space="preserve">. The KOSHA regulatory snapshot was harvested on 2026-02-28 (UTC); the manifest is at</w:t>
      </w:r>
      <w:r>
        <w:t xml:space="preserve"> </w:t>
      </w:r>
      <w:r>
        <w:rPr>
          <w:rStyle w:val="VerbatimChar"/>
        </w:rPr>
        <w:t xml:space="preserve">datasets/kosha/manifest.json</w:t>
      </w:r>
      <w:r>
        <w:t xml:space="preserve">.</w:t>
      </w:r>
    </w:p>
    <w:p>
      <w:r>
        <w:pict>
          <v:rect style="width:0;height:1.5pt" o:hralign="center" o:hrstd="t" o:hr="t"/>
        </w:pict>
      </w:r>
    </w:p>
    <w:bookmarkEnd w:id="67"/>
    <w:bookmarkStart w:id="68" w:name="acronyms"/>
    <w:p>
      <w:pPr>
        <w:pStyle w:val="Heading2"/>
      </w:pPr>
      <w: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ACI</w:t>
            </w:r>
          </w:p>
        </w:tc>
        <w:tc>
          <w:tcPr/>
          <w:p>
            <w:pPr>
              <w:pStyle w:val="Compact"/>
            </w:pPr>
            <w:r>
              <w:t xml:space="preserve">American Concrete Institute</w:t>
            </w:r>
          </w:p>
        </w:tc>
      </w:tr>
      <w:tr>
        <w:tc>
          <w:tcPr/>
          <w:p>
            <w:pPr>
              <w:pStyle w:val="Compact"/>
            </w:pPr>
            <w:r>
              <w:t xml:space="preserve">AGPL</w:t>
            </w:r>
          </w:p>
        </w:tc>
        <w:tc>
          <w:tcPr/>
          <w:p>
            <w:pPr>
              <w:pStyle w:val="Compact"/>
            </w:pPr>
            <w:r>
              <w:t xml:space="preserve">Affero General Public License</w:t>
            </w:r>
          </w:p>
        </w:tc>
      </w:tr>
      <w:tr>
        <w:tc>
          <w:tcPr/>
          <w:p>
            <w:pPr>
              <w:pStyle w:val="Compact"/>
            </w:pPr>
            <w:r>
              <w:t xml:space="preserve">AISC</w:t>
            </w:r>
          </w:p>
        </w:tc>
        <w:tc>
          <w:tcPr/>
          <w:p>
            <w:pPr>
              <w:pStyle w:val="Compact"/>
            </w:pPr>
            <w:r>
              <w:t xml:space="preserve">American Institute of Steel Construction</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ASME</w:t>
            </w:r>
          </w:p>
        </w:tc>
        <w:tc>
          <w:tcPr/>
          <w:p>
            <w:pPr>
              <w:pStyle w:val="Compact"/>
            </w:pPr>
            <w:r>
              <w:t xml:space="preserve">American Society of Mechanical Engineers</w:t>
            </w:r>
          </w:p>
        </w:tc>
      </w:tr>
      <w:tr>
        <w:tc>
          <w:tcPr/>
          <w:p>
            <w:pPr>
              <w:pStyle w:val="Compact"/>
            </w:pPr>
            <w:r>
              <w:t xml:space="preserve">BM25</w:t>
            </w:r>
          </w:p>
        </w:tc>
        <w:tc>
          <w:tcPr/>
          <w:p>
            <w:pPr>
              <w:pStyle w:val="Compact"/>
            </w:pPr>
            <w:r>
              <w:t xml:space="preserve">Best Matching 25 (probabilistic ranking function)</w:t>
            </w:r>
          </w:p>
        </w:tc>
      </w:tr>
      <w:tr>
        <w:tc>
          <w:tcPr/>
          <w:p>
            <w:pPr>
              <w:pStyle w:val="Compact"/>
            </w:pPr>
            <w:r>
              <w:t xml:space="preserve">CR</w:t>
            </w:r>
          </w:p>
        </w:tc>
        <w:tc>
          <w:tcPr/>
          <w:p>
            <w:pPr>
              <w:pStyle w:val="Compact"/>
            </w:pPr>
            <w:r>
              <w:t xml:space="preserve">Corrosion Rate</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FTS5</w:t>
            </w:r>
          </w:p>
        </w:tc>
        <w:tc>
          <w:tcPr/>
          <w:p>
            <w:pPr>
              <w:pStyle w:val="Compact"/>
            </w:pPr>
            <w:r>
              <w:t xml:space="preserve">Full-Text Search v5 (SQLite)</w:t>
            </w:r>
          </w:p>
        </w:tc>
      </w:tr>
      <w:tr>
        <w:tc>
          <w:tcPr/>
          <w:p>
            <w:pPr>
              <w:pStyle w:val="Compact"/>
            </w:pPr>
            <w:r>
              <w:t xml:space="preserve">HAZOP</w:t>
            </w:r>
          </w:p>
        </w:tc>
        <w:tc>
          <w:tcPr/>
          <w:p>
            <w:pPr>
              <w:pStyle w:val="Compact"/>
            </w:pPr>
            <w:r>
              <w:t xml:space="preserve">Hazard and Operability Study</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r>
        <w:tc>
          <w:tcPr/>
          <w:p>
            <w:pPr>
              <w:pStyle w:val="Compact"/>
            </w:pPr>
            <w:r>
              <w:t xml:space="preserve">RL</w:t>
            </w:r>
          </w:p>
        </w:tc>
        <w:tc>
          <w:tcPr/>
          <w:p>
            <w:pPr>
              <w:pStyle w:val="Compact"/>
            </w:pPr>
            <w:r>
              <w:t xml:space="preserve">Remaining Life</w:t>
            </w:r>
          </w:p>
        </w:tc>
      </w:tr>
    </w:tbl>
    <w:bookmarkEnd w:id="68"/>
    <w:bookmarkStart w:id="69" w:name="key-definitions"/>
    <w:p>
      <w:pPr>
        <w:pStyle w:val="Heading2"/>
      </w:pPr>
      <w:r>
        <w:t xml:space="preserve">Key Definitions</w:t>
      </w:r>
    </w:p>
    <w:p>
      <w:pPr>
        <w:pStyle w:val="Compact"/>
        <w:numPr>
          <w:ilvl w:val="0"/>
          <w:numId w:val="1004"/>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4"/>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4"/>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w:t>
      </w:r>
    </w:p>
    <w:p>
      <w:pPr>
        <w:pStyle w:val="Compact"/>
        <w:numPr>
          <w:ilvl w:val="0"/>
          <w:numId w:val="1004"/>
        </w:numPr>
      </w:pPr>
      <w:r>
        <w:rPr>
          <w:b/>
          <w:bCs/>
        </w:rPr>
        <w:t xml:space="preserve">Implementation verification</w:t>
      </w:r>
      <w:r>
        <w:t xml:space="preserve"> </w:t>
      </w:r>
      <w:r>
        <w:t xml:space="preserve">— confirmation that the system faithfully encodes the standards and rules it claims to implement, evaluated against cases derived from the same standards. Distinguished from</w:t>
      </w:r>
      <w:r>
        <w:t xml:space="preserve"> </w:t>
      </w:r>
      <w:r>
        <w:rPr>
          <w:b/>
          <w:bCs/>
        </w:rPr>
        <w:t xml:space="preserve">predictive validation</w:t>
      </w:r>
      <w:r>
        <w:t xml:space="preserve">, which would require performance assessment against independently sourced field data (§6.1).</w:t>
      </w:r>
    </w:p>
    <w:p>
      <w:pPr>
        <w:pStyle w:val="Compact"/>
        <w:numPr>
          <w:ilvl w:val="0"/>
          <w:numId w:val="1004"/>
        </w:numPr>
      </w:pPr>
      <w:r>
        <w:rPr>
          <w:b/>
          <w:bCs/>
        </w:rPr>
        <w:t xml:space="preserve">Compliance co-pilot</w:t>
      </w:r>
      <w:r>
        <w:t xml:space="preserve"> </w:t>
      </w:r>
      <w:r>
        <w:t xml:space="preserve">— operating mode in which the system supports, but does not replace, established methods (HAZOP, RBI, Digital Twin) by adding jurisdiction-specific regulatory obligations at four touchpoints (before HAZOP, design review, RBI, digital-twin operation) (§7.2).</w:t>
      </w:r>
    </w:p>
    <w:p>
      <w:pPr>
        <w:pStyle w:val="Compact"/>
        <w:numPr>
          <w:ilvl w:val="0"/>
          <w:numId w:val="1004"/>
        </w:numPr>
      </w:pPr>
      <w:r>
        <w:rPr>
          <w:b/>
          <w:bCs/>
        </w:rPr>
        <w:t xml:space="preserve">Mandatory vs Guidance</w:t>
      </w:r>
      <w:r>
        <w:t xml:space="preserve"> </w:t>
      </w:r>
      <w:r>
        <w:t xml:space="preserve">— regulatory class label attached to each retrieved KOSHA passage; mandatory = provisions of the Act, Enforcement Decree, or</w:t>
      </w:r>
      <w:r>
        <w:t xml:space="preserve"> </w:t>
      </w:r>
      <w:r>
        <w:rPr>
          <w:i/>
          <w:iCs/>
        </w:rPr>
        <w:t xml:space="preserve">Rules on Occupational Safety and Health Standards</w:t>
      </w:r>
      <w:r>
        <w:t xml:space="preserve">; guidance = KOSHA technical guidelines (§4.3).</w:t>
      </w:r>
    </w:p>
    <w:p>
      <w:r>
        <w:pict>
          <v:rect style="width:0;height:1.5pt" o:hralign="center" o:hrstd="t" o:hr="t"/>
        </w:pict>
      </w:r>
    </w:p>
    <w:bookmarkEnd w:id="69"/>
    <w:bookmarkStart w:id="76" w:name="Xceb22bef39ff670645289b7fb9b0af3b47b6fdb"/>
    <w:p>
      <w:pPr>
        <w:pStyle w:val="Heading2"/>
      </w:pPr>
      <w:r>
        <w:t xml:space="preserve">Appendix A. Real-Plant Data-Sheet Validation (VES-REAL-001)</w:t>
      </w:r>
    </w:p>
    <w:bookmarkStart w:id="70" w:name="a.1-anonymisation-policy-and-provenance"/>
    <w:p>
      <w:pPr>
        <w:pStyle w:val="Heading3"/>
      </w:pPr>
      <w:r>
        <w:t xml:space="preserve">A.1 Anonymisation policy and provenance</w:t>
      </w:r>
    </w:p>
    <w:p>
      <w:pPr>
        <w:pStyle w:val="FirstParagraph"/>
      </w:pPr>
      <w:r>
        <w:t xml:space="preserve">This appendix exercises the proposed framework against a real engineering data sheet drawn from an operating petrochemical project.</w:t>
      </w:r>
      <w:r>
        <w:t xml:space="preserve"> </w:t>
      </w:r>
      <w:r>
        <w:rPr>
          <w:b/>
          <w:bCs/>
        </w:rPr>
        <w:t xml:space="preserve">All client, contractor, licensor, personnel, location, project-name, document-ID, and equipment-tag identifiers were stripped before the data sheet was carried into this manuscript or any version-controlled artefact in the repository.</w:t>
      </w:r>
      <w:r>
        <w:t xml:space="preserve"> </w:t>
      </w:r>
      <w:r>
        <w:t xml:space="preserve">The case is referred to throughout this paper, the supporting scripts, and the JSON/Markdown evidence files only as</w:t>
      </w:r>
      <w:r>
        <w:t xml:space="preserve"> </w:t>
      </w:r>
      <w:r>
        <w:rPr>
          <w:rStyle w:val="VerbatimChar"/>
        </w:rPr>
        <w:t xml:space="preserve">VES-REAL-001</w:t>
      </w:r>
      <w:r>
        <w:t xml:space="preserve">.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w:t>
      </w:r>
      <w:r>
        <w:rPr>
          <w:rStyle w:val="VerbatimChar"/>
        </w:rPr>
        <w:t xml:space="preserve">docs/publication/submissions/Plant_data/</w:t>
      </w:r>
      <w:r>
        <w:t xml:space="preserve">, not part of the version-controlled paper bundle) and is not redistributed.</w:t>
      </w:r>
    </w:p>
    <w:bookmarkEnd w:id="70"/>
    <w:bookmarkStart w:id="71" w:name="a.2-anonymised-vessel-specification"/>
    <w:p>
      <w:pPr>
        <w:pStyle w:val="Heading3"/>
      </w:pPr>
      <w:r>
        <w:t xml:space="preserve">A.2 Anonymised vessel specification</w:t>
      </w:r>
    </w:p>
    <w:p>
      <w:pPr>
        <w:pStyle w:val="FirstParagraph"/>
      </w:pPr>
      <w:r>
        <w:t xml:space="preserve">The vessel under test is a cryogenic flare knockout drum.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Service</w:t>
            </w:r>
          </w:p>
        </w:tc>
        <w:tc>
          <w:tcPr/>
          <w:p>
            <w:pPr>
              <w:pStyle w:val="Compact"/>
            </w:pPr>
            <w:r>
              <w:t xml:space="preserve">cryogenic flare knockout drum (anonymised real-plant)</w:t>
            </w:r>
          </w:p>
        </w:tc>
      </w:tr>
      <w:tr>
        <w:tc>
          <w:tcPr/>
          <w:p>
            <w:pPr>
              <w:pStyle w:val="Compact"/>
            </w:pPr>
            <w:r>
              <w:t xml:space="preserve">Material — shell and heads</w:t>
            </w:r>
          </w:p>
        </w:tc>
        <w:tc>
          <w:tcPr/>
          <w:p>
            <w:pPr>
              <w:pStyle w:val="Compact"/>
            </w:pPr>
            <w:r>
              <w:t xml:space="preserve">SA-240 Type 304/304L (austenitic stainless, dual-cert)</w:t>
            </w:r>
          </w:p>
        </w:tc>
      </w:tr>
      <w:tr>
        <w:tc>
          <w:tcPr/>
          <w:p>
            <w:pPr>
              <w:pStyle w:val="Compact"/>
            </w:pPr>
            <w:r>
              <w:t xml:space="preserve">Design pressure</w:t>
            </w:r>
          </w:p>
        </w:tc>
        <w:tc>
          <w:tcPr/>
          <w:p>
            <w:pPr>
              <w:pStyle w:val="Compact"/>
            </w:pPr>
            <w:r>
              <w:t xml:space="preserve">3.5 kg/cm²(g) ≈ 0.343 MPa(g)</w:t>
            </w:r>
            <w:r>
              <w:t xml:space="preserve"> </w:t>
            </w:r>
            <w:r>
              <w:rPr>
                <w:b/>
                <w:bCs/>
              </w:rPr>
              <w:t xml:space="preserve">and Full Vacuum</w:t>
            </w:r>
          </w:p>
        </w:tc>
      </w:tr>
      <w:tr>
        <w:tc>
          <w:tcPr/>
          <w:p>
            <w:pPr>
              <w:pStyle w:val="Compact"/>
            </w:pPr>
            <w:r>
              <w:t xml:space="preserve">Design temperature</w:t>
            </w:r>
          </w:p>
        </w:tc>
        <w:tc>
          <w:tcPr/>
          <w:p>
            <w:pPr>
              <w:pStyle w:val="Compact"/>
            </w:pPr>
            <w:r>
              <w:t xml:space="preserve">190 °C / -190 °C (dual range)</w:t>
            </w:r>
          </w:p>
        </w:tc>
      </w:tr>
      <w:tr>
        <w:tc>
          <w:tcPr/>
          <w:p>
            <w:pPr>
              <w:pStyle w:val="Compact"/>
            </w:pPr>
            <w:r>
              <w:t xml:space="preserve">Operating P / T</w:t>
            </w:r>
          </w:p>
        </w:tc>
        <w:tc>
          <w:tcPr/>
          <w:p>
            <w:pPr>
              <w:pStyle w:val="Compact"/>
            </w:pPr>
            <w:r>
              <w:t xml:space="preserve">1.5 kg/cm²(g) / 15.3 °C / -90.5 °C</w:t>
            </w:r>
          </w:p>
        </w:tc>
      </w:tr>
      <w:tr>
        <w:tc>
          <w:tcPr/>
          <w:p>
            <w:pPr>
              <w:pStyle w:val="Compact"/>
            </w:pPr>
            <w:r>
              <w:t xml:space="preserve">Inside diameter</w:t>
            </w:r>
          </w:p>
        </w:tc>
        <w:tc>
          <w:tcPr/>
          <w:p>
            <w:pPr>
              <w:pStyle w:val="Compact"/>
            </w:pPr>
            <w:r>
              <w:t xml:space="preserve">5,000 mm (R = 2,500 mm)</w:t>
            </w:r>
          </w:p>
        </w:tc>
      </w:tr>
      <w:tr>
        <w:tc>
          <w:tcPr/>
          <w:p>
            <w:pPr>
              <w:pStyle w:val="Compact"/>
            </w:pPr>
            <w:r>
              <w:t xml:space="preserve">Tangent-to-tangent length</w:t>
            </w:r>
          </w:p>
        </w:tc>
        <w:tc>
          <w:tcPr/>
          <w:p>
            <w:pPr>
              <w:pStyle w:val="Compact"/>
            </w:pPr>
            <w:r>
              <w:t xml:space="preserve">20,400 mm</w:t>
            </w:r>
          </w:p>
        </w:tc>
      </w:tr>
      <w:tr>
        <w:tc>
          <w:tcPr/>
          <w:p>
            <w:pPr>
              <w:pStyle w:val="Compact"/>
            </w:pPr>
            <w:r>
              <w:t xml:space="preserve">Corrosion allowance</w:t>
            </w:r>
          </w:p>
        </w:tc>
        <w:tc>
          <w:tcPr/>
          <w:p>
            <w:pPr>
              <w:pStyle w:val="Compact"/>
            </w:pPr>
            <w:r>
              <w:t xml:space="preserve">NIL (0 mm)</w:t>
            </w:r>
          </w:p>
        </w:tc>
      </w:tr>
      <w:tr>
        <w:tc>
          <w:tcPr/>
          <w:p>
            <w:pPr>
              <w:pStyle w:val="Compact"/>
            </w:pPr>
            <w:r>
              <w:t xml:space="preserve">Joint efficiency</w:t>
            </w:r>
          </w:p>
        </w:tc>
        <w:tc>
          <w:tcPr/>
          <w:p>
            <w:pPr>
              <w:pStyle w:val="Compact"/>
            </w:pPr>
            <w:r>
              <w:rPr>
                <w:b/>
                <w:bCs/>
              </w:rPr>
              <w:t xml:space="preserve">Not stated on the data sheet — assumed E = 1.0</w:t>
            </w:r>
            <w:r>
              <w:t xml:space="preserve"> </w:t>
            </w:r>
            <w:r>
              <w:t xml:space="preserve">corresponding to full radiography per ASME Section VIII Div.1 UW-12, conventional for flare-service vessels (assumption explicit; see §A.4)</w:t>
            </w:r>
          </w:p>
        </w:tc>
      </w:tr>
      <w:tr>
        <w:tc>
          <w:tcPr/>
          <w:p>
            <w:pPr>
              <w:pStyle w:val="Compact"/>
            </w:pPr>
            <w:r>
              <w:t xml:space="preserve">Liquid specific gravity</w:t>
            </w:r>
          </w:p>
        </w:tc>
        <w:tc>
          <w:tcPr/>
          <w:p>
            <w:pPr>
              <w:pStyle w:val="Compact"/>
            </w:pPr>
            <w:r>
              <w:t xml:space="preserve">0.61</w:t>
            </w:r>
          </w:p>
        </w:tc>
      </w:tr>
    </w:tbl>
    <w:p>
      <w:pPr>
        <w:pStyle w:val="BodyText"/>
      </w:pPr>
      <w:r>
        <w:rPr>
          <w:b/>
          <w:bCs/>
        </w:rPr>
        <w:t xml:space="preserve">Source of all numbers below:</w:t>
      </w:r>
      <w:r>
        <w:t xml:space="preserve"> </w:t>
      </w:r>
      <w:r>
        <w:rPr>
          <w:rStyle w:val="VerbatimChar"/>
        </w:rPr>
        <w:t xml:space="preserve">outputs/real_case_ves001_rag.json</w:t>
      </w:r>
      <w:r>
        <w:t xml:space="preserve"> </w:t>
      </w:r>
      <w:r>
        <w:t xml:space="preserve">produced by</w:t>
      </w:r>
      <w:r>
        <w:t xml:space="preserve"> </w:t>
      </w:r>
      <w:r>
        <w:rPr>
          <w:rStyle w:val="VerbatimChar"/>
        </w:rPr>
        <w:t xml:space="preserve">scripts/run_real_case_ves001_rag.py</w:t>
      </w:r>
      <w:r>
        <w:t xml:space="preserve">. No number in this appendix has been edited by hand.</w:t>
      </w:r>
    </w:p>
    <w:bookmarkEnd w:id="71"/>
    <w:bookmarkStart w:id="72" w:name="a.3-calculation-engine-output"/>
    <w:p>
      <w:pPr>
        <w:pStyle w:val="Heading3"/>
      </w:pPr>
      <w:r>
        <w:t xml:space="preserve">A.3 Calculation-engine output</w:t>
      </w:r>
    </w:p>
    <w:p>
      <w:pPr>
        <w:pStyle w:val="FirstParagraph"/>
      </w:pPr>
      <w:r>
        <w:t xml:space="preserve">The cryogenic side (-190 °C) is outside the input-validation range of the deployed Layer-1 schema (</w:t>
      </w:r>
      <w:r>
        <w:rPr>
          <w:rStyle w:val="VerbatimChar"/>
        </w:rPr>
        <w:t xml:space="preserve">-50 °C ≤ design_temperature_c ≤ 650 °C</w:t>
      </w:r>
      <w:r>
        <w:t xml:space="preserve">). The full four-layer engine is therefore run on the +190 °C side; the cryogenic side is treated by directly invoking the underlying ASME Section VIII Div.1 UG-27 routine (</w:t>
      </w:r>
      <w:r>
        <w:rPr>
          <w:rStyle w:val="VerbatimChar"/>
        </w:rPr>
        <w:t xml:space="preserve">src/vessel/calculations.py :: calculate_required_shell_thickness_mm</w:t>
      </w:r>
      <w:r>
        <w:t xml:space="preserve">)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w:t>
      </w:r>
    </w:p>
    <w:p>
      <w:pPr>
        <w:pStyle w:val="BodyText"/>
      </w:pPr>
      <w:r>
        <w:rPr>
          <w:b/>
          <w:bCs/>
        </w:rPr>
        <w:t xml:space="preserve">Direct UG-27 results (formula</w:t>
      </w:r>
      <w:r>
        <w:rPr>
          <w:b/>
          <w:bCs/>
        </w:rPr>
        <w:t xml:space="preserve"> </w:t>
      </w:r>
      <w:r>
        <w:rPr>
          <w:rStyle w:val="VerbatimChar"/>
          <w:b/>
          <w:bCs/>
        </w:rPr>
        <w:t xml:space="preserve">t = (P·R) / (S·E - 0.6·P) + CA</w:t>
      </w:r>
      <w:r>
        <w:rPr>
          <w:b/>
          <w:bCs/>
        </w:rP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Side</w:t>
            </w:r>
          </w:p>
        </w:tc>
        <w:tc>
          <w:tcPr/>
          <w:p>
            <w:pPr>
              <w:pStyle w:val="Compact"/>
              <w:jc w:val="right"/>
            </w:pPr>
            <w:r>
              <w:t xml:space="preserve">Allowable stress S (MPa)</w:t>
            </w:r>
          </w:p>
        </w:tc>
        <w:tc>
          <w:tcPr/>
          <w:p>
            <w:pPr>
              <w:pStyle w:val="Compact"/>
              <w:jc w:val="right"/>
            </w:pPr>
            <w:r>
              <w:t xml:space="preserve">t_required_shell (mm)</w:t>
            </w:r>
          </w:p>
        </w:tc>
        <w:tc>
          <w:tcPr/>
          <w:p>
            <w:pPr>
              <w:pStyle w:val="Compact"/>
              <w:jc w:val="right"/>
            </w:pPr>
            <w:r>
              <w:t xml:space="preserve">Reverse pressure (MPa)</w:t>
            </w:r>
          </w:p>
        </w:tc>
        <w:tc>
          <w:tcPr/>
          <w:p>
            <w:pPr>
              <w:pStyle w:val="Compact"/>
              <w:jc w:val="right"/>
            </w:pPr>
            <w:r>
              <w:t xml:space="preserve">Reverse deviation (%)</w:t>
            </w:r>
          </w:p>
        </w:tc>
      </w:tr>
      <w:tr>
        <w:tc>
          <w:tcPr/>
          <w:p>
            <w:pPr>
              <w:pStyle w:val="Compact"/>
            </w:pPr>
            <w:r>
              <w:t xml:space="preserve">Hot (+190 °C)</w:t>
            </w:r>
          </w:p>
        </w:tc>
        <w:tc>
          <w:tcPr/>
          <w:p>
            <w:pPr>
              <w:pStyle w:val="Compact"/>
              <w:jc w:val="right"/>
            </w:pPr>
            <w:r>
              <w:t xml:space="preserve">118.700</w:t>
            </w:r>
          </w:p>
        </w:tc>
        <w:tc>
          <w:tcPr/>
          <w:p>
            <w:pPr>
              <w:pStyle w:val="Compact"/>
              <w:jc w:val="right"/>
            </w:pPr>
            <w:r>
              <w:rPr>
                <w:b/>
                <w:bCs/>
              </w:rPr>
              <w:t xml:space="preserve">7.237</w:t>
            </w:r>
          </w:p>
        </w:tc>
        <w:tc>
          <w:tcPr/>
          <w:p>
            <w:pPr>
              <w:pStyle w:val="Compact"/>
              <w:jc w:val="right"/>
            </w:pPr>
            <w:r>
              <w:t xml:space="preserve">0.3430</w:t>
            </w:r>
          </w:p>
        </w:tc>
        <w:tc>
          <w:tcPr/>
          <w:p>
            <w:pPr>
              <w:pStyle w:val="Compact"/>
              <w:jc w:val="right"/>
            </w:pPr>
            <w:r>
              <w:t xml:space="preserve">&lt; 1×10⁻¹³</w:t>
            </w:r>
          </w:p>
        </w:tc>
      </w:tr>
      <w:tr>
        <w:tc>
          <w:tcPr/>
          <w:p>
            <w:pPr>
              <w:pStyle w:val="Compact"/>
            </w:pPr>
            <w:r>
              <w:t xml:space="preserve">Cold (-190 °C, S@20 °C)</w:t>
            </w:r>
          </w:p>
        </w:tc>
        <w:tc>
          <w:tcPr/>
          <w:p>
            <w:pPr>
              <w:pStyle w:val="Compact"/>
              <w:jc w:val="right"/>
            </w:pPr>
            <w:r>
              <w:t xml:space="preserve">132.000</w:t>
            </w:r>
          </w:p>
        </w:tc>
        <w:tc>
          <w:tcPr/>
          <w:p>
            <w:pPr>
              <w:pStyle w:val="Compact"/>
              <w:jc w:val="right"/>
            </w:pPr>
            <w:r>
              <w:t xml:space="preserve">6.506</w:t>
            </w:r>
          </w:p>
        </w:tc>
        <w:tc>
          <w:tcPr/>
          <w:p>
            <w:pPr>
              <w:pStyle w:val="Compact"/>
              <w:jc w:val="right"/>
            </w:pPr>
            <w:r>
              <w:t xml:space="preserve">0.3430</w:t>
            </w:r>
          </w:p>
        </w:tc>
        <w:tc>
          <w:tcPr/>
          <w:p>
            <w:pPr>
              <w:pStyle w:val="Compact"/>
              <w:jc w:val="right"/>
            </w:pPr>
            <w:r>
              <w:t xml:space="preserve">0.0000</w:t>
            </w:r>
          </w:p>
        </w:tc>
      </w:tr>
    </w:tbl>
    <w:p>
      <w:pPr>
        <w:pStyle w:val="BodyText"/>
      </w:pPr>
      <w:r>
        <w:t xml:space="preserve">The hot side governs:</w:t>
      </w:r>
      <w:r>
        <w:t xml:space="preserve"> </w:t>
      </w:r>
      <w:r>
        <w:rPr>
          <w:b/>
          <w:bCs/>
        </w:rPr>
        <w:t xml:space="preserve">the controlling required shell thickness is 7.237 mm.</w:t>
      </w:r>
      <w:r>
        <w:t xml:space="preserve"> </w:t>
      </w:r>
      <w:r>
        <w:t xml:space="preserve">The Layer-4 reverse-pressure check returns the design pressure to within machine epsilon (deviation &lt; 0.001 %), as expected for an internally consistent UG-27 forward/reverse pair.</w:t>
      </w:r>
    </w:p>
    <w:p>
      <w:pPr>
        <w:pStyle w:val="BodyText"/>
      </w:pPr>
      <w:r>
        <w:rPr>
          <w:b/>
          <w:bCs/>
        </w:rPr>
        <w:t xml:space="preserve">Engine full-run hot-side dimensional metrics</w:t>
      </w:r>
      <w:r>
        <w:t xml:space="preserve"> </w:t>
      </w:r>
      <w:r>
        <w:t xml:space="preserve">(E = 1.0; horizontal drum; 2:1 ellipsoidal heads default):</w:t>
      </w:r>
    </w:p>
    <w:p>
      <w:pPr>
        <w:pStyle w:val="Compact"/>
        <w:numPr>
          <w:ilvl w:val="0"/>
          <w:numId w:val="1005"/>
        </w:numPr>
      </w:pPr>
      <w:r>
        <w:t xml:space="preserve">diameter = 5,000.0 mm; governing span = 20,400.0 mm; head-depth (default) = 1,250.0 mm</w:t>
      </w:r>
    </w:p>
    <w:p>
      <w:pPr>
        <w:pStyle w:val="Compact"/>
        <w:numPr>
          <w:ilvl w:val="0"/>
          <w:numId w:val="1005"/>
        </w:numPr>
      </w:pPr>
      <w:r>
        <w:t xml:space="preserve">shell surface area = 320.442 m²; estimated internal volume = 433.278 m³</w:t>
      </w:r>
    </w:p>
    <w:p>
      <w:pPr>
        <w:pStyle w:val="Compact"/>
        <w:numPr>
          <w:ilvl w:val="0"/>
          <w:numId w:val="1005"/>
        </w:numPr>
      </w:pPr>
      <w:r>
        <w:t xml:space="preserve">slenderness L/D = 4.08 (no high-L/D warning)</w:t>
      </w:r>
    </w:p>
    <w:p>
      <w:pPr>
        <w:pStyle w:val="Compact"/>
        <w:numPr>
          <w:ilvl w:val="0"/>
          <w:numId w:val="1005"/>
        </w:numPr>
      </w:pPr>
      <w:r>
        <w:t xml:space="preserve">screening confidence =</w:t>
      </w:r>
      <w:r>
        <w:t xml:space="preserve"> </w:t>
      </w:r>
      <w:r>
        <w:rPr>
          <w:rStyle w:val="VerbatimChar"/>
        </w:rPr>
        <w:t xml:space="preserve">medium</w:t>
      </w:r>
      <w:r>
        <w:t xml:space="preserve">; flags =</w:t>
      </w:r>
      <w:r>
        <w:t xml:space="preserve"> </w:t>
      </w:r>
      <w:r>
        <w:rPr>
          <w:rStyle w:val="VerbatimChar"/>
        </w:rPr>
        <w:t xml:space="preserve">{red_flags: [], warnings: ['DATA.VESSEL_DIMENSION_CONTEXT_MISSING']}</w:t>
      </w:r>
      <w:r>
        <w:t xml:space="preserve"> </w:t>
      </w:r>
      <w:r>
        <w:t xml:space="preserve">— the warning is raised because the data sheet does not state the head depth; the engine substituted its 2:1-ellipsoidal default</w:t>
      </w:r>
    </w:p>
    <w:p>
      <w:pPr>
        <w:pStyle w:val="Compact"/>
        <w:numPr>
          <w:ilvl w:val="0"/>
          <w:numId w:val="1005"/>
        </w:numPr>
      </w:pPr>
      <w:r>
        <w:t xml:space="preserve">FFS / remaining-life screening fields are</w:t>
      </w:r>
      <w:r>
        <w:t xml:space="preserve"> </w:t>
      </w:r>
      <w:r>
        <w:rPr>
          <w:i/>
          <w:iCs/>
        </w:rPr>
        <w:t xml:space="preserve">not reported here</w:t>
      </w:r>
      <w:r>
        <w:t xml:space="preserve">: a plausible</w:t>
      </w:r>
      <w:r>
        <w:t xml:space="preserve"> </w:t>
      </w:r>
      <w:r>
        <w:rPr>
          <w:rStyle w:val="VerbatimChar"/>
        </w:rPr>
        <w:t xml:space="preserve">current_thickness_mm</w:t>
      </w:r>
      <w:r>
        <w:t xml:space="preserve"> </w:t>
      </w:r>
      <w:r>
        <w:t xml:space="preserve">was supplied only because the engine schema requires a positive value, and using it would inject a non-data-sheet number into a manuscript table. The script flags this caveat explicitly.</w:t>
      </w:r>
    </w:p>
    <w:p>
      <w:pPr>
        <w:pStyle w:val="FirstParagraph"/>
      </w:pPr>
      <w:r>
        <w:rPr>
          <w:b/>
          <w:bCs/>
        </w:rPr>
        <w:t xml:space="preserve">Engine full-run cold-side outcome.</w:t>
      </w:r>
      <w:r>
        <w:t xml:space="preserve"> </w:t>
      </w:r>
      <w:r>
        <w:t xml:space="preserve">As expected, Layer-1 returns the red flag</w:t>
      </w:r>
      <w:r>
        <w:t xml:space="preserve"> </w:t>
      </w:r>
      <w:r>
        <w:rPr>
          <w:rStyle w:val="VerbatimChar"/>
        </w:rPr>
        <w:t xml:space="preserve">STD.OUT_OF_SCOPE_APPLICATION</w:t>
      </w:r>
      <w:r>
        <w:t xml:space="preserve"> </w:t>
      </w:r>
      <w:r>
        <w:t xml:space="preserve">(</w:t>
      </w:r>
      <w:r>
        <w:t xml:space="preserve">“Temperature out of range: -190.0”</w:t>
      </w:r>
      <w:r>
        <w:t xml:space="preserve">) together with the dimension-context warning above. The cold-side response is therefore not used for thickness sizing in this appendix; the directly-computed UG-27 number (6.506 mm) is used instead.</w:t>
      </w:r>
    </w:p>
    <w:bookmarkEnd w:id="72"/>
    <w:bookmarkStart w:id="73" w:name="X8732cf3cf7268cce07306d7198b15d77aaa50b2"/>
    <w:p>
      <w:pPr>
        <w:pStyle w:val="Heading3"/>
      </w:pPr>
      <w:r>
        <w:t xml:space="preserve">A.4 KOSHA RAG retrieval — both query variants</w:t>
      </w:r>
    </w:p>
    <w:p>
      <w:pPr>
        <w:pStyle w:val="FirstParagraph"/>
      </w:pPr>
      <w:r>
        <w:t xml:space="preserve">Two query variants were issued through the same retrieval code path used in the rest of the paper (</w:t>
      </w:r>
      <w:r>
        <w:rPr>
          <w:rStyle w:val="VerbatimChar"/>
        </w:rPr>
        <w:t xml:space="preserve">src.rag.local_kosha_rag.search_index</w:t>
      </w:r>
      <w:r>
        <w:t xml:space="preserve"> </w:t>
      </w:r>
      <w:r>
        <w:t xml:space="preserve">against the live SQLite FTS index).</w:t>
      </w:r>
    </w:p>
    <w:p>
      <w:pPr>
        <w:pStyle w:val="BodyText"/>
      </w:pPr>
      <w:r>
        <w:rPr>
          <w:b/>
          <w:bCs/>
        </w:rPr>
        <w:t xml:space="preserve">Variant A —</w:t>
      </w:r>
      <w:r>
        <w:rPr>
          <w:b/>
          <w:bCs/>
        </w:rPr>
        <w:t xml:space="preserve"> </w:t>
      </w:r>
      <w:r>
        <w:rPr>
          <w:rStyle w:val="VerbatimChar"/>
          <w:b/>
          <w:bCs/>
        </w:rPr>
        <w:t xml:space="preserve">generic_cryogenic_flare_drum_en</w:t>
      </w:r>
      <w:r>
        <w:rPr>
          <w:b/>
          <w:bCs/>
        </w:rPr>
        <w:t xml:space="preserve"> </w:t>
      </w:r>
      <w:r>
        <w:rPr>
          <w:b/>
          <w:bCs/>
        </w:rPr>
        <w:t xml:space="preserve">(discipline filter =</w:t>
      </w:r>
      <w:r>
        <w:rPr>
          <w:b/>
          <w:bCs/>
        </w:rPr>
        <w:t xml:space="preserve"> </w:t>
      </w:r>
      <w:r>
        <w:rPr>
          <w:rStyle w:val="VerbatimChar"/>
          <w:b/>
          <w:bCs/>
        </w:rPr>
        <w:t xml:space="preserve">vessel</w:t>
      </w:r>
      <w:r>
        <w:rPr>
          <w:b/>
          <w:bCs/>
        </w:rPr>
        <w:t xml:space="preserve">).</w:t>
      </w:r>
      <w:r>
        <w:t xml:space="preserve"> </w:t>
      </w:r>
      <w:r>
        <w:t xml:space="preserve">Spec-faithful natural query:</w:t>
      </w:r>
      <w:r>
        <w:t xml:space="preserve"> </w:t>
      </w:r>
      <w:r>
        <w:rPr>
          <w:i/>
          <w:iCs/>
        </w:rPr>
        <w:t xml:space="preserve">“cryogenic flare knockout drum austenitic stainless steel pressure vessel low temperature service full vacuum 압력용기 저온 플레어”</w:t>
      </w:r>
      <w:r>
        <w:t xml:space="preserve">. Returns 10/10 vessel-discipline hits:</w:t>
      </w:r>
      <w:r>
        <w:t xml:space="preserve"> </w:t>
      </w:r>
      <w:r>
        <w:rPr>
          <w:b/>
          <w:bCs/>
        </w:rPr>
        <w:t xml:space="preserve">2 mandatory law-article hits + 8 KOSHA technical guides</w:t>
      </w:r>
      <w:r>
        <w:t xml:space="preserve">. Top-3:</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M-111-2015</w:t>
            </w:r>
          </w:p>
        </w:tc>
        <w:tc>
          <w:tcPr/>
          <w:p>
            <w:pPr>
              <w:pStyle w:val="Compact"/>
            </w:pPr>
            <w:r>
              <w:t xml:space="preserve">압력용기의 용접설계에 관한 기술지침 (Pressure Vessel Weld Design Technical Guide)</w:t>
            </w:r>
          </w:p>
        </w:tc>
      </w:tr>
      <w:tr>
        <w:tc>
          <w:tcPr/>
          <w:p>
            <w:pPr>
              <w:pStyle w:val="Compact"/>
              <w:jc w:val="right"/>
            </w:pPr>
            <w:r>
              <w:t xml:space="preserve">2</w:t>
            </w:r>
          </w:p>
        </w:tc>
        <w:tc>
          <w:tcPr/>
          <w:p>
            <w:pPr>
              <w:pStyle w:val="Compact"/>
            </w:pPr>
            <w:r>
              <w:t xml:space="preserve">mandatory</w:t>
            </w:r>
          </w:p>
        </w:tc>
        <w:tc>
          <w:tcPr/>
          <w:p>
            <w:pPr>
              <w:pStyle w:val="Compact"/>
            </w:pPr>
            <w:r>
              <w:rPr>
                <w:rStyle w:val="VerbatimChar"/>
              </w:rPr>
              <w:t xml:space="preserve">KOSHA05_안전검사 고시 제9조</w:t>
            </w:r>
          </w:p>
        </w:tc>
        <w:tc>
          <w:tcPr/>
          <w:p>
            <w:pPr>
              <w:pStyle w:val="Compact"/>
            </w:pPr>
            <w:r>
              <w:t xml:space="preserve">안전검사 고시 제9조 정의 (Safety Inspection Notification, Article 9 — Definitions)</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 (Pressure Vessel Remaining-Life Assessment Technical Guide)</w:t>
            </w:r>
          </w:p>
        </w:tc>
      </w:tr>
    </w:tbl>
    <w:p>
      <w:pPr>
        <w:pStyle w:val="BodyText"/>
      </w:pPr>
      <w:r>
        <w:rPr>
          <w:b/>
          <w:bCs/>
        </w:rPr>
        <w:t xml:space="preserve">Variant B —</w:t>
      </w:r>
      <w:r>
        <w:rPr>
          <w:b/>
          <w:bCs/>
        </w:rPr>
        <w:t xml:space="preserve"> </w:t>
      </w:r>
      <w:r>
        <w:rPr>
          <w:rStyle w:val="VerbatimChar"/>
          <w:b/>
          <w:bCs/>
        </w:rPr>
        <w:t xml:space="preserve">narrow_cryogenic_kr_terms</w:t>
      </w:r>
      <w:r>
        <w:rPr>
          <w:b/>
          <w:bCs/>
        </w:rPr>
        <w:t xml:space="preserve"> </w:t>
      </w:r>
      <w:r>
        <w:rPr>
          <w:b/>
          <w:bCs/>
        </w:rPr>
        <w:t xml:space="preserve">(no discipline filter).</w:t>
      </w:r>
      <w:r>
        <w:t xml:space="preserve"> </w:t>
      </w:r>
      <w:r>
        <w:t xml:space="preserve">Narrower probe:</w:t>
      </w:r>
      <w:r>
        <w:t xml:space="preserve"> </w:t>
      </w:r>
      <w:r>
        <w:rPr>
          <w:i/>
          <w:iCs/>
        </w:rPr>
        <w:t xml:space="preserve">“저온 cryogenic 플레어 flare 스테인리스 stainless 압력용기 산업안전보건 process safety”</w:t>
      </w:r>
      <w:r>
        <w:t xml:space="preserve">. Returns 10/10 hits:</w:t>
      </w:r>
      <w:r>
        <w:t xml:space="preserve"> </w:t>
      </w:r>
      <w:r>
        <w:rPr>
          <w:b/>
          <w:bCs/>
        </w:rPr>
        <w:t xml:space="preserve">1 mandatory law-article hit + 9 KOSHA guides / PSM technical-support documents</w:t>
      </w:r>
      <w:r>
        <w:t xml:space="preserve">. Top-3:</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C-C-86-2026</w:t>
            </w:r>
          </w:p>
        </w:tc>
        <w:tc>
          <w:tcPr/>
          <w:p>
            <w:pPr>
              <w:pStyle w:val="Compact"/>
            </w:pPr>
            <w:r>
              <w:t xml:space="preserve">공정안전보고서 등의 통합서식 작성방법에 관한 기술지원규정 (PSM Integrated-Form Preparation Technical-Support Regulation)</w:t>
            </w:r>
          </w:p>
        </w:tc>
      </w:tr>
      <w:tr>
        <w:tc>
          <w:tcPr/>
          <w:p>
            <w:pPr>
              <w:pStyle w:val="Compact"/>
              <w:jc w:val="right"/>
            </w:pPr>
            <w:r>
              <w:t xml:space="preserve">2</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C-C-77-2026</w:t>
            </w:r>
          </w:p>
        </w:tc>
        <w:tc>
          <w:tcPr/>
          <w:p>
            <w:pPr>
              <w:pStyle w:val="Compact"/>
            </w:pPr>
            <w:r>
              <w:t xml:space="preserve">PSM 시스템의 효과적인 운전 규범에 관한 기술지원규정 (Effective PSM-System Operation Technical-Support Regulation)</w:t>
            </w:r>
          </w:p>
        </w:tc>
      </w:tr>
    </w:tbl>
    <w:p>
      <w:pPr>
        <w:pStyle w:val="BodyText"/>
      </w:pPr>
      <w:r>
        <w:t xml:space="preserve">The first mandatory hit in Variant B is at</w:t>
      </w:r>
      <w:r>
        <w:t xml:space="preserve"> </w:t>
      </w:r>
      <w:r>
        <w:rPr>
          <w:b/>
          <w:bCs/>
        </w:rPr>
        <w:t xml:space="preserve">rank 5</w:t>
      </w:r>
      <w:r>
        <w:t xml:space="preserve">:</w:t>
      </w:r>
      <w:r>
        <w:t xml:space="preserve"> </w:t>
      </w:r>
      <w:r>
        <w:rPr>
          <w:rStyle w:val="VerbatimChar"/>
        </w:rPr>
        <w:t xml:space="preserve">KOSHA04_002000002000004000000000266000</w:t>
      </w:r>
      <w:r>
        <w:t xml:space="preserve"> </w:t>
      </w:r>
      <w:r>
        <w:t xml:space="preserve">—</w:t>
      </w:r>
      <w:r>
        <w:t xml:space="preserve"> </w:t>
      </w:r>
      <w:r>
        <w:rPr>
          <w:b/>
          <w:bCs/>
        </w:rPr>
        <w:t xml:space="preserve">제266조 차단밸브의 설치 금지</w:t>
      </w:r>
      <w:r>
        <w:t xml:space="preserve"> </w:t>
      </w:r>
      <w:r>
        <w:t xml:space="preserve">(Article 266,</w:t>
      </w:r>
      <w:r>
        <w:t xml:space="preserve"> </w:t>
      </w:r>
      <w:r>
        <w:rPr>
          <w:i/>
          <w:iCs/>
        </w:rPr>
        <w:t xml:space="preserve">Rules on Occupational Safety and Health Standards</w:t>
      </w:r>
      <w:r>
        <w:t xml:space="preserve">: prohibition on installing block valves on safety-critical relief / flare paths). This is a directly relevant Korean-jurisdiction obligation for a flare knockout drum; ASME Section VIII Div.1 alone does not surface it.</w:t>
      </w:r>
    </w:p>
    <w:p>
      <w:pPr>
        <w:pStyle w:val="BodyText"/>
      </w:pPr>
      <w:r>
        <w:t xml:space="preserve">The full top-10 of each variant, with bm25 scores and snippets, is reproduced verbatim in</w:t>
      </w:r>
      <w:r>
        <w:t xml:space="preserve"> </w:t>
      </w:r>
      <w:r>
        <w:rPr>
          <w:rStyle w:val="VerbatimChar"/>
        </w:rPr>
        <w:t xml:space="preserve">outputs/real_case_ves001_rag.md</w:t>
      </w:r>
      <w:r>
        <w:t xml:space="preserve"> </w:t>
      </w:r>
      <w:r>
        <w:t xml:space="preserve">and</w:t>
      </w:r>
      <w:r>
        <w:t xml:space="preserve"> </w:t>
      </w:r>
      <w:r>
        <w:rPr>
          <w:rStyle w:val="VerbatimChar"/>
        </w:rPr>
        <w:t xml:space="preserve">outputs/real_case_ves001_rag.json</w:t>
      </w:r>
      <w:r>
        <w:t xml:space="preserve">.</w:t>
      </w:r>
    </w:p>
    <w:bookmarkEnd w:id="73"/>
    <w:bookmarkStart w:id="74" w:name="a.5-what-this-confirms"/>
    <w:p>
      <w:pPr>
        <w:pStyle w:val="Heading3"/>
      </w:pPr>
      <w:r>
        <w:t xml:space="preserve">A.5 What this confirms</w:t>
      </w:r>
    </w:p>
    <w:p>
      <w:pPr>
        <w:pStyle w:val="FirstParagraph"/>
      </w:pPr>
      <w:r>
        <w:t xml:space="preserve">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w:t>
      </w:r>
      <w:r>
        <w:rPr>
          <w:rStyle w:val="VerbatimChar"/>
        </w:rPr>
        <w:t xml:space="preserve">M-111-2015</w:t>
      </w:r>
      <w:r>
        <w:t xml:space="preserve">), remaining-life assessment (</w:t>
      </w:r>
      <w:r>
        <w:rPr>
          <w:rStyle w:val="VerbatimChar"/>
        </w:rPr>
        <w:t xml:space="preserve">M-69-2012</w:t>
      </w:r>
      <w:r>
        <w:t xml:space="preserve">), pressure-vessel repair (</w:t>
      </w:r>
      <w:r>
        <w:rPr>
          <w:rStyle w:val="VerbatimChar"/>
        </w:rPr>
        <w:t xml:space="preserve">M-113-2012</w:t>
      </w:r>
      <w:r>
        <w:t xml:space="preserve">), post-weld heat treatment (</w:t>
      </w:r>
      <w:r>
        <w:rPr>
          <w:rStyle w:val="VerbatimChar"/>
        </w:rPr>
        <w:t xml:space="preserve">M-184-2015</w:t>
      </w:r>
      <w:r>
        <w:t xml:space="preserve">), and thickness-loss risk assessment (</w:t>
      </w:r>
      <w:r>
        <w:rPr>
          <w:rStyle w:val="VerbatimChar"/>
        </w:rPr>
        <w:t xml:space="preserve">M-109-2012</w:t>
      </w:r>
      <w:r>
        <w:t xml:space="preserve">); the narrow Korean-term probe additionally returns Article 266 of the</w:t>
      </w:r>
      <w:r>
        <w:t xml:space="preserve"> </w:t>
      </w:r>
      <w:r>
        <w:rPr>
          <w:i/>
          <w:iCs/>
        </w:rPr>
        <w:t xml:space="preserve">Rules on Occupational Safety and Health Standards</w:t>
      </w:r>
      <w:r>
        <w:t xml:space="preserve"> </w:t>
      </w:r>
      <w:r>
        <w:t xml:space="preserve">— the Korean statutory provision restricting block-valve installation on flare and relief paths — at rank 5, mandatory class. The retrieval is therefore not weak: the spec-faithful variant returns 2 mandatory + 8 vessel-relevant guidance hits, and the narrow variant pulls a flare-relevant mandatory provision into the top-10 along with the PSM integrated-form regulation. We do not claim that the system independently identified Article 266 as the</w:t>
      </w:r>
      <w:r>
        <w:t xml:space="preserve"> </w:t>
      </w:r>
      <w:r>
        <w:t xml:space="preserve">“right”</w:t>
      </w:r>
      <w:r>
        <w:t xml:space="preserve"> </w:t>
      </w:r>
      <w:r>
        <w:t xml:space="preserve">answer for this specific vessel — that is an audit judgement requiring the operating company’s PSM dossier — only that the same retrieval pipeline used in §6.5 surfaces the relevant Korean obligation and the relevant KOSHA technical guidance from a real plant data sheet.</w:t>
      </w:r>
    </w:p>
    <w:bookmarkEnd w:id="74"/>
    <w:bookmarkStart w:id="75" w:name="Xc47cf091bc440a5528282ad8b0bfc975696a623"/>
    <w:p>
      <w:pPr>
        <w:pStyle w:val="Heading3"/>
      </w:pPr>
      <w:r>
        <w:t xml:space="preserve">A.6 Synthetic-data framing considerations</w:t>
      </w:r>
    </w:p>
    <w:p>
      <w:pPr>
        <w:pStyle w:val="FirstParagraph"/>
      </w:pPr>
      <w:r>
        <w:t xml:space="preserve">This real-plant case responds directly to the concern that the §6 evaluation rests on synthetic data alone. What VES-REAL-001 demonstrates is that the pipeline</w:t>
      </w:r>
      <w:r>
        <w:t xml:space="preserve"> </w:t>
      </w:r>
      <w:r>
        <w:rPr>
          <w:b/>
          <w:bCs/>
        </w:rPr>
        <w:t xml:space="preserve">runs end-to-end on a real EPC vessel data sheet</w:t>
      </w:r>
      <w:r>
        <w:t xml:space="preserve">, that ASME UG-27 governs cleanly, that the engine correctly rejects out-of-scope inputs (the −190 °C cryogenic side returns</w:t>
      </w:r>
      <w:r>
        <w:t xml:space="preserve"> </w:t>
      </w:r>
      <w:r>
        <w:rPr>
          <w:rStyle w:val="VerbatimChar"/>
        </w:rPr>
        <w:t xml:space="preserve">STD.OUT_OF_SCOPE_APPLICATION</w:t>
      </w:r>
      <w:r>
        <w:t xml:space="preserve"> </w:t>
      </w:r>
      <w:r>
        <w:t xml:space="preserve">rather than a fabricated answer), and that KOSHA RAG retrieval surfaces jurisdiction-relevant guidance and at least one mandatory provision (Article 266 on flare-path block-valve prohibition) on a real-plant query.</w:t>
      </w:r>
      <w:r>
        <w:t xml:space="preserve"> </w:t>
      </w:r>
      <w:r>
        <w:rPr>
          <w:b/>
          <w:bCs/>
        </w:rPr>
        <w:t xml:space="preserve">What VES-REAL-001 does not demonstrate is external accuracy validation against an independently audited reference</w:t>
      </w:r>
      <w:r>
        <w:t xml:space="preserve">: the data sheet supplies design inputs but no independently measured outputs, so the case shows execution and retrieval behaviour, not predictive fidelity. Predictive validation against operating-record outcomes remains future work (§8 Limitation 1).</w:t>
      </w:r>
    </w:p>
    <w:p>
      <w:pPr>
        <w:pStyle w:val="BodyText"/>
      </w:pPr>
      <w:r>
        <w:rPr>
          <w:b/>
          <w:bCs/>
        </w:rPr>
        <w:t xml:space="preserve">Reproduction.</w:t>
      </w:r>
      <w:r>
        <w:t xml:space="preserve"> </w:t>
      </w:r>
      <w:r>
        <w:rPr>
          <w:rStyle w:val="VerbatimChar"/>
        </w:rPr>
        <w:t xml:space="preserve">python scripts/run_real_case_ves001_rag.py</w:t>
      </w:r>
      <w:r>
        <w:t xml:space="preserve"> </w:t>
      </w:r>
      <w:r>
        <w:t xml:space="preserve">regenerates</w:t>
      </w:r>
      <w:r>
        <w:t xml:space="preserve"> </w:t>
      </w:r>
      <w:r>
        <w:rPr>
          <w:rStyle w:val="VerbatimChar"/>
        </w:rPr>
        <w:t xml:space="preserve">outputs/real_case_ves001_rag.json</w:t>
      </w:r>
      <w:r>
        <w:t xml:space="preserve"> </w:t>
      </w:r>
      <w:r>
        <w:t xml:space="preserve">and</w:t>
      </w:r>
      <w:r>
        <w:t xml:space="preserve"> </w:t>
      </w:r>
      <w:r>
        <w:rPr>
          <w:rStyle w:val="VerbatimChar"/>
        </w:rPr>
        <w:t xml:space="preserve">outputs/real_case_ves001_rag.md</w:t>
      </w:r>
      <w:r>
        <w:t xml:space="preserve">. The KOSHA RAG index used is</w:t>
      </w:r>
      <w:r>
        <w:t xml:space="preserve"> </w:t>
      </w:r>
      <w:r>
        <w:rPr>
          <w:rStyle w:val="VerbatimChar"/>
        </w:rPr>
        <w:t xml:space="preserve">datasets/kosha_rag/kosha_local_rag.sqlite3</w:t>
      </w:r>
      <w:r>
        <w:t xml:space="preserve">. No randomness; outputs are deterministic.</w:t>
      </w:r>
    </w:p>
    <w:p>
      <w:r>
        <w:pict>
          <v:rect style="width:0;height:1.5pt" o:hralign="center" o:hrstd="t" o:hr="t"/>
        </w:pict>
      </w:r>
    </w:p>
    <w:bookmarkEnd w:id="75"/>
    <w:bookmarkEnd w:id="76"/>
    <w:bookmarkStart w:id="82" w:name="appendix-b-extended-validation-evidence"/>
    <w:p>
      <w:pPr>
        <w:pStyle w:val="Heading2"/>
      </w:pPr>
      <w:r>
        <w:t xml:space="preserve">Appendix B — Extended validation evidence</w:t>
      </w:r>
    </w:p>
    <w:p>
      <w:pPr>
        <w:pStyle w:val="FirstParagraph"/>
      </w:pPr>
      <w:r>
        <w:t xml:space="preserve">This appendix consolidates four supplementary measurements (per-discipline accuracy spread, recall saturation, pipeline latency, retrieval failure inventory) and a reproducibility statement. Every table is regenerated by</w:t>
      </w:r>
      <w:r>
        <w:t xml:space="preserve"> </w:t>
      </w:r>
      <w:r>
        <w:rPr>
          <w:rStyle w:val="VerbatimChar"/>
        </w:rPr>
        <w:t xml:space="preserve">scripts/reproduce_all.py</w:t>
      </w:r>
      <w:r>
        <w:t xml:space="preserve"> </w:t>
      </w:r>
      <w:r>
        <w:t xml:space="preserve">(13/13 scripts pass on a clean run).</w:t>
      </w:r>
    </w:p>
    <w:bookmarkStart w:id="77" w:name="b.1-per-discipline-calculation-accuracy"/>
    <w:p>
      <w:pPr>
        <w:pStyle w:val="Heading3"/>
      </w:pPr>
      <w:r>
        <w:t xml:space="preserve">B.1 Per-discipline calculation accuracy</w:t>
      </w:r>
    </w:p>
    <w:p>
      <w:pPr>
        <w:pStyle w:val="FirstParagraph"/>
      </w:pPr>
      <w:r>
        <w:t xml:space="preserve">A natural follow-up question is whether the system performs unevenly across disciplines. Per-discipline breakdown (</w:t>
      </w:r>
      <w:r>
        <w:rPr>
          <w:rStyle w:val="VerbatimChar"/>
        </w:rPr>
        <w:t xml:space="preserve">outputs/per_discipline_accuracy.md</w:t>
      </w:r>
      <w:r>
        <w:t xml:space="preserve">):</w:t>
      </w:r>
    </w:p>
    <w:p>
      <w:pPr>
        <w:pStyle w:val="Compact"/>
        <w:numPr>
          <w:ilvl w:val="0"/>
          <w:numId w:val="1006"/>
        </w:numPr>
      </w:pPr>
      <w:r>
        <w:t xml:space="preserve">Total cases: 220</w:t>
      </w:r>
    </w:p>
    <w:p>
      <w:pPr>
        <w:pStyle w:val="Compact"/>
        <w:numPr>
          <w:ilvl w:val="0"/>
          <w:numId w:val="1006"/>
        </w:numPr>
      </w:pPr>
      <w:r>
        <w:t xml:space="preserve">Passed cases: 220</w:t>
      </w:r>
    </w:p>
    <w:p>
      <w:pPr>
        <w:pStyle w:val="Compact"/>
        <w:numPr>
          <w:ilvl w:val="0"/>
          <w:numId w:val="1006"/>
        </w:numPr>
      </w:pPr>
      <w:r>
        <w:t xml:space="preserve">Overall accuracy: 1.0000</w:t>
      </w:r>
    </w:p>
    <w:p>
      <w:pPr>
        <w:pStyle w:val="Compact"/>
        <w:numPr>
          <w:ilvl w:val="0"/>
          <w:numId w:val="1006"/>
        </w:numPr>
      </w:pPr>
      <w:r>
        <w:t xml:space="preserve">Source dataset:</w:t>
      </w:r>
      <w:r>
        <w:t xml:space="preserve"> </w:t>
      </w:r>
      <w:r>
        <w:rPr>
          <w:rStyle w:val="VerbatimChar"/>
        </w:rPr>
        <w:t xml:space="preserve">datasets/golden_standards/*_golden_dataset_v1.json</w:t>
      </w:r>
    </w:p>
    <w:p>
      <w:pPr>
        <w:pStyle w:val="Compact"/>
        <w:numPr>
          <w:ilvl w:val="0"/>
          <w:numId w:val="1006"/>
        </w:numPr>
      </w:pPr>
      <w:r>
        <w:t xml:space="preserve">Code path:</w:t>
      </w:r>
      <w:r>
        <w:t xml:space="preserve"> </w:t>
      </w:r>
      <w:r>
        <w:rPr>
          <w:rStyle w:val="VerbatimChar"/>
        </w:rPr>
        <w:t xml:space="preserve">scripts/benchmark_all_runtime.py</w:t>
      </w:r>
      <w:r>
        <w:t xml:space="preserve"> </w:t>
      </w:r>
      <w:r>
        <w:t xml:space="preserve">(re-used).</w:t>
      </w:r>
    </w:p>
    <w:p>
      <w:pPr>
        <w:pStyle w:val="FirstParagraph"/>
      </w:pPr>
      <w:r>
        <w:rPr>
          <w:b/>
          <w:bCs/>
        </w:rPr>
        <w:t xml:space="preserve">Per-Discipline Table</w:t>
      </w:r>
    </w:p>
    <w:tbl>
      <w:tblPr>
        <w:tblStyle w:val="Table"/>
        <w:tblW w:type="pct" w:w="5000"/>
        <w:tblLayout w:type="fixed"/>
        <w:tblLook w:firstRow="1" w:lastRow="0" w:firstColumn="0" w:lastColumn="0" w:noHBand="0" w:noVBand="0" w:val="0020"/>
      </w:tblPr>
      <w:tblGrid>
        <w:gridCol w:w="625"/>
        <w:gridCol w:w="833"/>
        <w:gridCol w:w="833"/>
        <w:gridCol w:w="833"/>
        <w:gridCol w:w="833"/>
        <w:gridCol w:w="625"/>
        <w:gridCol w:w="833"/>
        <w:gridCol w:w="833"/>
        <w:gridCol w:w="833"/>
        <w:gridCol w:w="833"/>
      </w:tblGrid>
      <w:tr>
        <w:trPr>
          <w:tblHeader w:val="on"/>
        </w:trPr>
        <w:tc>
          <w:tcPr/>
          <w:p>
            <w:pPr>
              <w:pStyle w:val="Compact"/>
            </w:pPr>
            <w:r>
              <w:t xml:space="preserve">Discipline</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Accuracy</w:t>
            </w:r>
          </w:p>
        </w:tc>
        <w:tc>
          <w:tcPr/>
          <w:p>
            <w:pPr>
              <w:pStyle w:val="Compact"/>
            </w:pPr>
            <w:r>
              <w:t xml:space="preserve">Primary metric</w:t>
            </w:r>
          </w:p>
        </w:tc>
        <w:tc>
          <w:tcPr/>
          <w:p>
            <w:pPr>
              <w:pStyle w:val="Compact"/>
              <w:jc w:val="right"/>
            </w:pPr>
            <w:r>
              <w:t xml:space="preserve">Mean rel. err</w:t>
            </w:r>
          </w:p>
        </w:tc>
        <w:tc>
          <w:tcPr/>
          <w:p>
            <w:pPr>
              <w:pStyle w:val="Compact"/>
              <w:jc w:val="right"/>
            </w:pPr>
            <w:r>
              <w:t xml:space="preserve">Max rel. err</w:t>
            </w:r>
          </w:p>
        </w:tc>
        <w:tc>
          <w:tcPr/>
          <w:p>
            <w:pPr>
              <w:pStyle w:val="Compact"/>
              <w:jc w:val="right"/>
            </w:pPr>
            <w:r>
              <w:t xml:space="preserve">RF precision</w:t>
            </w:r>
          </w:p>
        </w:tc>
        <w:tc>
          <w:tcPr/>
          <w:p>
            <w:pPr>
              <w:pStyle w:val="Compact"/>
              <w:jc w:val="right"/>
            </w:pPr>
            <w:r>
              <w:t xml:space="preserve">RF recall</w:t>
            </w:r>
          </w:p>
        </w:tc>
      </w:tr>
      <w:tr>
        <w:tc>
          <w:tcPr/>
          <w:p>
            <w:pPr>
              <w:pStyle w:val="Compact"/>
            </w:pPr>
            <w:r>
              <w:t xml:space="preserve">piping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1.0000</w:t>
            </w:r>
          </w:p>
        </w:tc>
        <w:tc>
          <w:tcPr/>
          <w:p>
            <w:pPr>
              <w:pStyle w:val="Compact"/>
            </w:pPr>
            <w:r>
              <w:t xml:space="preserve">t_min_mm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vessel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t_required_shell_mm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rotating</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vibration_mm_per_s</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electrical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transformer_health_index</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instrumentation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pfdavg</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steel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phi_pn_kn</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civil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phi_mn_knm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bl>
    <w:p>
      <w:pPr>
        <w:pStyle w:val="BodyText"/>
      </w:pPr>
      <w:r>
        <w:rPr>
          <w:b/>
          <w:bCs/>
        </w:rPr>
        <w:t xml:space="preserve">Red-flag Confusion (Per-Discipline).</w:t>
      </w:r>
      <w:r>
        <w:t xml:space="preserve"> </w:t>
      </w:r>
      <w:r>
        <w:t xml:space="preserve">Per-flag, per-case counts: TP = expected and predicted; FP = predicted but not expected; FN = expected but not predicted.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piping</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r>
      <w:tr>
        <w:tc>
          <w:tcPr/>
          <w:p>
            <w:pPr>
              <w:pStyle w:val="Compact"/>
            </w:pPr>
            <w:r>
              <w:t xml:space="preserve">vessel</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rotating</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pPr>
            <w:r>
              <w:t xml:space="preserve">electrical</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r>
      <w:tr>
        <w:tc>
          <w:tcPr/>
          <w:p>
            <w:pPr>
              <w:pStyle w:val="Compact"/>
            </w:pPr>
            <w:r>
              <w:t xml:space="preserve">instrumentation</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r>
      <w:tr>
        <w:tc>
          <w:tcPr/>
          <w:p>
            <w:pPr>
              <w:pStyle w:val="Compact"/>
            </w:pPr>
            <w:r>
              <w:t xml:space="preserve">steel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r>
        <w:tc>
          <w:tcPr/>
          <w:p>
            <w:pPr>
              <w:pStyle w:val="Compact"/>
            </w:pPr>
            <w:r>
              <w:t xml:space="preserve">civil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bl>
    <w:p>
      <w:pPr>
        <w:pStyle w:val="BodyText"/>
      </w:pPr>
      <w:r>
        <w:rPr>
          <w:b/>
          <w:bCs/>
        </w:rPr>
        <w:t xml:space="preserve">Caveat (self-consistency, not external ground-truth fidelity).</w:t>
      </w:r>
      <w:r>
        <w:t xml:space="preserve"> </w:t>
      </w:r>
      <w:r>
        <w:t xml:space="preserve">The expected outputs in</w:t>
      </w:r>
      <w:r>
        <w:t xml:space="preserve"> </w:t>
      </w:r>
      <w:r>
        <w:rPr>
          <w:rStyle w:val="VerbatimChar"/>
        </w:rPr>
        <w:t xml:space="preserve">datasets/golden_standards/*.json</w:t>
      </w:r>
      <w:r>
        <w:t xml:space="preserve"> </w:t>
      </w:r>
      <w:r>
        <w:t xml:space="preserve">were generated by the same calculation engine that the runtime now reproduces. The 1.0000 uniform accuracy therefore measures</w:t>
      </w:r>
      <w:r>
        <w:t xml:space="preserve"> </w:t>
      </w:r>
      <w:r>
        <w:rPr>
          <w:i/>
          <w:iCs/>
        </w:rPr>
        <w:t xml:space="preserve">implementation self-consistency</w:t>
      </w:r>
      <w:r>
        <w:t xml:space="preserve"> </w:t>
      </w:r>
      <w:r>
        <w:t xml:space="preserve">— the engine’s behaviour at runtime matches its behaviour at dataset-generation time — not external fidelity to a separately validated reference. This caveat is consistent with the</w:t>
      </w:r>
      <w:r>
        <w:t xml:space="preserve"> </w:t>
      </w:r>
      <w:r>
        <w:t xml:space="preserve">“implementation verification, not predictive validation”</w:t>
      </w:r>
      <w:r>
        <w:t xml:space="preserve"> </w:t>
      </w:r>
      <w:r>
        <w:t xml:space="preserve">framing of §6.1 and is restated as Limitation 8 in §8.</w:t>
      </w:r>
    </w:p>
    <w:bookmarkEnd w:id="77"/>
    <w:bookmarkStart w:id="78" w:name="b.2-recallk-extension-k-1..10"/>
    <w:p>
      <w:pPr>
        <w:pStyle w:val="Heading3"/>
      </w:pPr>
      <w:r>
        <w:t xml:space="preserve">B.2 Recall@K extension (K = 1..10)</w:t>
      </w:r>
    </w:p>
    <w:p>
      <w:pPr>
        <w:pStyle w:val="FirstParagraph"/>
      </w:pPr>
      <w:r>
        <w:t xml:space="preserve">Per-K table from</w:t>
      </w:r>
      <w:r>
        <w:t xml:space="preserve"> </w:t>
      </w:r>
      <w:r>
        <w:rPr>
          <w:rStyle w:val="VerbatimChar"/>
        </w:rPr>
        <w:t xml:space="preserve">outputs/rag_retrieval_extended.md</w:t>
      </w:r>
      <w:r>
        <w:t xml:space="preserve"> </w:t>
      </w:r>
      <w:r>
        <w:t xml:space="preserve">(Dataset:</w:t>
      </w:r>
      <w:r>
        <w:t xml:space="preserve"> </w:t>
      </w:r>
      <w:r>
        <w:rPr>
          <w:rStyle w:val="VerbatimChar"/>
        </w:rPr>
        <w:t xml:space="preserve">datasets/kosha_rag/rag_eval_queries.json</w:t>
      </w:r>
      <w:r>
        <w:t xml:space="preserve">; queries: 50; bootstrap draws: 1000, seed=20260508):</w:t>
      </w:r>
    </w:p>
    <w:p>
      <w:pPr>
        <w:pStyle w:val="BodyText"/>
      </w:pPr>
      <w:r>
        <w:rPr>
          <w:b/>
          <w:bCs/>
        </w:rPr>
        <w:t xml:space="preserve">Point Estimates per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w:t>
            </w:r>
          </w:p>
        </w:tc>
        <w:tc>
          <w:tcPr/>
          <w:p>
            <w:pPr>
              <w:pStyle w:val="Compact"/>
              <w:jc w:val="right"/>
            </w:pPr>
            <w:r>
              <w:t xml:space="preserve">Plain</w:t>
            </w:r>
          </w:p>
        </w:tc>
        <w:tc>
          <w:tcPr/>
          <w:p>
            <w:pPr>
              <w:pStyle w:val="Compact"/>
              <w:jc w:val="right"/>
            </w:pPr>
            <w:r>
              <w:t xml:space="preserve">Enhanced</w:t>
            </w:r>
          </w:p>
        </w:tc>
        <w:tc>
          <w:tcPr/>
          <w:p>
            <w:pPr>
              <w:pStyle w:val="Compact"/>
              <w:jc w:val="right"/>
            </w:pPr>
            <w:r>
              <w:t xml:space="preserve">Delta (E - P)</w:t>
            </w:r>
          </w:p>
        </w:tc>
      </w:tr>
      <w:tr>
        <w:tc>
          <w:tcPr/>
          <w:p>
            <w:pPr>
              <w:pStyle w:val="Compact"/>
              <w:jc w:val="right"/>
            </w:pPr>
            <w:r>
              <w:t xml:space="preserve">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r>
      <w:tr>
        <w:tc>
          <w:tcPr/>
          <w:p>
            <w:pPr>
              <w:pStyle w:val="Compact"/>
              <w:jc w:val="right"/>
            </w:pPr>
            <w:r>
              <w:t xml:space="preserve">2</w:t>
            </w:r>
          </w:p>
        </w:tc>
        <w:tc>
          <w:tcPr/>
          <w:p>
            <w:pPr>
              <w:pStyle w:val="Compact"/>
              <w:jc w:val="right"/>
            </w:pPr>
            <w:r>
              <w:t xml:space="preserve">0.6000</w:t>
            </w:r>
          </w:p>
        </w:tc>
        <w:tc>
          <w:tcPr/>
          <w:p>
            <w:pPr>
              <w:pStyle w:val="Compact"/>
              <w:jc w:val="right"/>
            </w:pPr>
            <w:r>
              <w:t xml:space="preserve">0.8200</w:t>
            </w:r>
          </w:p>
        </w:tc>
        <w:tc>
          <w:tcPr/>
          <w:p>
            <w:pPr>
              <w:pStyle w:val="Compact"/>
              <w:jc w:val="right"/>
            </w:pPr>
            <w:r>
              <w:t xml:space="preserve">+0.2200</w:t>
            </w:r>
          </w:p>
        </w:tc>
      </w:tr>
      <w:tr>
        <w:tc>
          <w:tcPr/>
          <w:p>
            <w:pPr>
              <w:pStyle w:val="Compact"/>
              <w:jc w:val="right"/>
            </w:pPr>
            <w:r>
              <w:t xml:space="preserve">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4</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6</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7</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8</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9</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r>
        <w:tc>
          <w:tcPr/>
          <w:p>
            <w:pPr>
              <w:pStyle w:val="Compact"/>
              <w:jc w:val="right"/>
            </w:pPr>
            <w:r>
              <w:t xml:space="preserve">10</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bl>
    <w:p>
      <w:pPr>
        <w:pStyle w:val="BodyText"/>
      </w:pPr>
      <w:r>
        <w:rPr>
          <w:b/>
          <w:bCs/>
        </w:rPr>
        <w:t xml:space="preserve">Paired Difference (Enhanced − Plain) per 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K</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c>
          <w:tcPr/>
          <w:p>
            <w:pPr>
              <w:pStyle w:val="Compact"/>
            </w:pPr>
            <w:r>
              <w:t xml:space="preserve">CI excludes 0?</w:t>
            </w:r>
          </w:p>
        </w:tc>
      </w:tr>
      <w:tr>
        <w:tc>
          <w:tcPr/>
          <w:p>
            <w:pPr>
              <w:pStyle w:val="Compact"/>
              <w:jc w:val="right"/>
            </w:pPr>
            <w:r>
              <w:t xml:space="preserve">1</w:t>
            </w:r>
          </w:p>
        </w:tc>
        <w:tc>
          <w:tcPr/>
          <w:p>
            <w:pPr>
              <w:pStyle w:val="Compact"/>
              <w:jc w:val="right"/>
            </w:pPr>
            <w:r>
              <w:t xml:space="preserve">+0.3031</w:t>
            </w:r>
          </w:p>
        </w:tc>
        <w:tc>
          <w:tcPr/>
          <w:p>
            <w:pPr>
              <w:pStyle w:val="Compact"/>
              <w:jc w:val="right"/>
            </w:pPr>
            <w:r>
              <w:t xml:space="preserve">+0.1400</w:t>
            </w:r>
          </w:p>
        </w:tc>
        <w:tc>
          <w:tcPr/>
          <w:p>
            <w:pPr>
              <w:pStyle w:val="Compact"/>
              <w:jc w:val="right"/>
            </w:pPr>
            <w:r>
              <w:t xml:space="preserve">+0.4800</w:t>
            </w:r>
          </w:p>
        </w:tc>
        <w:tc>
          <w:tcPr/>
          <w:p>
            <w:pPr>
              <w:pStyle w:val="Compact"/>
            </w:pPr>
            <w:r>
              <w:t xml:space="preserve">yes</w:t>
            </w:r>
          </w:p>
        </w:tc>
      </w:tr>
      <w:tr>
        <w:tc>
          <w:tcPr/>
          <w:p>
            <w:pPr>
              <w:pStyle w:val="Compact"/>
              <w:jc w:val="right"/>
            </w:pPr>
            <w:r>
              <w:t xml:space="preserve">2</w:t>
            </w:r>
          </w:p>
        </w:tc>
        <w:tc>
          <w:tcPr/>
          <w:p>
            <w:pPr>
              <w:pStyle w:val="Compact"/>
              <w:jc w:val="right"/>
            </w:pPr>
            <w:r>
              <w:t xml:space="preserve">+0.2236</w:t>
            </w:r>
          </w:p>
        </w:tc>
        <w:tc>
          <w:tcPr/>
          <w:p>
            <w:pPr>
              <w:pStyle w:val="Compact"/>
              <w:jc w:val="right"/>
            </w:pPr>
            <w:r>
              <w:t xml:space="preserve">+0.0600</w:t>
            </w:r>
          </w:p>
        </w:tc>
        <w:tc>
          <w:tcPr/>
          <w:p>
            <w:pPr>
              <w:pStyle w:val="Compact"/>
              <w:jc w:val="right"/>
            </w:pPr>
            <w:r>
              <w:t xml:space="preserve">+0.3800</w:t>
            </w:r>
          </w:p>
        </w:tc>
        <w:tc>
          <w:tcPr/>
          <w:p>
            <w:pPr>
              <w:pStyle w:val="Compact"/>
            </w:pPr>
            <w:r>
              <w:t xml:space="preserve">yes</w:t>
            </w:r>
          </w:p>
        </w:tc>
      </w:tr>
      <w:tr>
        <w:tc>
          <w:tcPr/>
          <w:p>
            <w:pPr>
              <w:pStyle w:val="Compact"/>
              <w:jc w:val="right"/>
            </w:pPr>
            <w:r>
              <w:t xml:space="preserve">3</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4</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5</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6</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7</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8</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9</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r>
        <w:tc>
          <w:tcPr/>
          <w:p>
            <w:pPr>
              <w:pStyle w:val="Compact"/>
              <w:jc w:val="right"/>
            </w:pPr>
            <w:r>
              <w:t xml:space="preserve">10</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bl>
    <w:p>
      <w:pPr>
        <w:pStyle w:val="BodyText"/>
      </w:pPr>
      <w:r>
        <w:t xml:space="preserve">The Enhanced curve saturates at 0.8621 from K = 3; the Plain curve continues to rise. Paired-bootstrap 95% CI on the Enhanced − Plain delta excludes zero only at K∈{1, 2}. The headline retrieval claim of the paper is therefore narrowed to Recall@1 and MRR@10 (§6.5).</w:t>
      </w:r>
    </w:p>
    <w:bookmarkEnd w:id="78"/>
    <w:bookmarkStart w:id="79" w:name="b.3-pipeline-end-to-end-latency"/>
    <w:p>
      <w:pPr>
        <w:pStyle w:val="Heading3"/>
      </w:pPr>
      <w:r>
        <w:t xml:space="preserve">B.3 Pipeline end-to-end latency</w:t>
      </w:r>
    </w:p>
    <w:p>
      <w:pPr>
        <w:pStyle w:val="FirstParagraph"/>
      </w:pPr>
      <w:r>
        <w:t xml:space="preserve">Median latency per stage on a commodity AMD x86-64 CPU under Python 3.13 (</w:t>
      </w:r>
      <w:r>
        <w:rPr>
          <w:rStyle w:val="VerbatimChar"/>
        </w:rPr>
        <w:t xml:space="preserve">outputs/pipeline_latency.md</w:t>
      </w:r>
      <w:r>
        <w:t xml:space="preserve">; Platform: Windows 10 (AMD64); CPU: AMD64 Family 25 Model 33 Stepping 2; repetitions per stage: 5):</w:t>
      </w:r>
    </w:p>
    <w:p>
      <w:pPr>
        <w:pStyle w:val="BodyText"/>
      </w:pPr>
      <w:r>
        <w:rPr>
          <w:b/>
          <w:bCs/>
        </w:rPr>
        <w:t xml:space="preserve">Per-Discipline Layered Stack (Layers 1–4 Combined, service.evaluate)</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Discipline</w:t>
            </w:r>
          </w:p>
        </w:tc>
        <w:tc>
          <w:tcPr/>
          <w:p>
            <w:pPr>
              <w:pStyle w:val="Compact"/>
            </w:pPr>
            <w:r>
              <w:t xml:space="preserve">Case ID</w:t>
            </w:r>
          </w:p>
        </w:tc>
        <w:tc>
          <w:tcPr/>
          <w:p>
            <w:pPr>
              <w:pStyle w:val="Compact"/>
            </w:pPr>
            <w:r>
              <w:t xml:space="preserve">Criticality</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piping</w:t>
            </w:r>
          </w:p>
        </w:tc>
        <w:tc>
          <w:tcPr/>
          <w:p>
            <w:pPr>
              <w:pStyle w:val="Compact"/>
            </w:pPr>
            <w:r>
              <w:t xml:space="preserve">PIP-GOLD-001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0.19</w:t>
            </w:r>
          </w:p>
        </w:tc>
      </w:tr>
      <w:tr>
        <w:tc>
          <w:tcPr/>
          <w:p>
            <w:pPr>
              <w:pStyle w:val="Compact"/>
            </w:pPr>
            <w:r>
              <w:t xml:space="preserve">vessel</w:t>
            </w:r>
          </w:p>
        </w:tc>
        <w:tc>
          <w:tcPr/>
          <w:p>
            <w:pPr>
              <w:pStyle w:val="Compact"/>
            </w:pPr>
            <w:r>
              <w:t xml:space="preserve">VES-GOLD-001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0.13</w:t>
            </w:r>
          </w:p>
        </w:tc>
      </w:tr>
      <w:tr>
        <w:tc>
          <w:tcPr/>
          <w:p>
            <w:pPr>
              <w:pStyle w:val="Compact"/>
            </w:pPr>
            <w:r>
              <w:t xml:space="preserve">rotating</w:t>
            </w:r>
          </w:p>
        </w:tc>
        <w:tc>
          <w:tcPr/>
          <w:p>
            <w:pPr>
              <w:pStyle w:val="Compact"/>
            </w:pPr>
            <w:r>
              <w:t xml:space="preserve">ROT-GOLD-001</w:t>
            </w:r>
          </w:p>
        </w:tc>
        <w:tc>
          <w:tcPr/>
          <w:p>
            <w:pPr>
              <w:pStyle w:val="Compact"/>
            </w:pPr>
            <w:r>
              <w:t xml:space="preserve">normal</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0.10</w:t>
            </w:r>
          </w:p>
        </w:tc>
      </w:tr>
      <w:tr>
        <w:tc>
          <w:tcPr/>
          <w:p>
            <w:pPr>
              <w:pStyle w:val="Compact"/>
            </w:pPr>
            <w:r>
              <w:t xml:space="preserve">electrical</w:t>
            </w:r>
          </w:p>
        </w:tc>
        <w:tc>
          <w:tcPr/>
          <w:p>
            <w:pPr>
              <w:pStyle w:val="Compact"/>
            </w:pPr>
            <w:r>
              <w:t xml:space="preserve">ELE-GOLD-001</w:t>
            </w:r>
          </w:p>
        </w:tc>
        <w:tc>
          <w:tcPr/>
          <w:p>
            <w:pPr>
              <w:pStyle w:val="Compact"/>
            </w:pPr>
            <w:r>
              <w:t xml:space="preserve">normal</w:t>
            </w:r>
          </w:p>
        </w:tc>
        <w:tc>
          <w:tcPr/>
          <w:p>
            <w:pPr>
              <w:pStyle w:val="Compact"/>
              <w:jc w:val="right"/>
            </w:pPr>
            <w:r>
              <w:t xml:space="preserve">0.04</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0.09</w:t>
            </w:r>
          </w:p>
        </w:tc>
      </w:tr>
      <w:tr>
        <w:tc>
          <w:tcPr/>
          <w:p>
            <w:pPr>
              <w:pStyle w:val="Compact"/>
            </w:pPr>
            <w:r>
              <w:t xml:space="preserve">instrumentation</w:t>
            </w:r>
          </w:p>
        </w:tc>
        <w:tc>
          <w:tcPr/>
          <w:p>
            <w:pPr>
              <w:pStyle w:val="Compact"/>
            </w:pPr>
            <w:r>
              <w:t xml:space="preserve">INS-GOLD-001</w:t>
            </w:r>
          </w:p>
        </w:tc>
        <w:tc>
          <w:tcPr/>
          <w:p>
            <w:pPr>
              <w:pStyle w:val="Compact"/>
            </w:pPr>
            <w:r>
              <w:t xml:space="preserve">normal</w:t>
            </w:r>
          </w:p>
        </w:tc>
        <w:tc>
          <w:tcPr/>
          <w:p>
            <w:pPr>
              <w:pStyle w:val="Compact"/>
              <w:jc w:val="right"/>
            </w:pPr>
            <w:r>
              <w:t xml:space="preserve">0.08</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0.15</w:t>
            </w:r>
          </w:p>
        </w:tc>
      </w:tr>
      <w:tr>
        <w:tc>
          <w:tcPr/>
          <w:p>
            <w:pPr>
              <w:pStyle w:val="Compact"/>
            </w:pPr>
            <w:r>
              <w:t xml:space="preserve">steel</w:t>
            </w:r>
          </w:p>
        </w:tc>
        <w:tc>
          <w:tcPr/>
          <w:p>
            <w:pPr>
              <w:pStyle w:val="Compact"/>
            </w:pPr>
            <w:r>
              <w:t xml:space="preserve">STL-GOLD-001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0.07</w:t>
            </w:r>
          </w:p>
        </w:tc>
      </w:tr>
      <w:tr>
        <w:tc>
          <w:tcPr/>
          <w:p>
            <w:pPr>
              <w:pStyle w:val="Compact"/>
            </w:pPr>
            <w:r>
              <w:t xml:space="preserve">civil</w:t>
            </w:r>
          </w:p>
        </w:tc>
        <w:tc>
          <w:tcPr/>
          <w:p>
            <w:pPr>
              <w:pStyle w:val="Compact"/>
            </w:pPr>
            <w:r>
              <w:t xml:space="preserve">CIV-GOLD-001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0.08</w:t>
            </w:r>
          </w:p>
        </w:tc>
      </w:tr>
    </w:tbl>
    <w:p>
      <w:pPr>
        <w:pStyle w:val="BodyText"/>
      </w:pPr>
      <w:r>
        <w:rPr>
          <w:b/>
          <w:bCs/>
        </w:rPr>
        <w:t xml:space="preserve">Piping Per-Layer Breakdown</w:t>
      </w:r>
      <w:r>
        <w:t xml:space="preserve"> </w:t>
      </w:r>
      <w:r>
        <w:t xml:space="preserve">(case PIP-GOLD-001):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Layer</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layer1_input_validation</w:t>
            </w:r>
          </w:p>
        </w:tc>
        <w:tc>
          <w:tcPr/>
          <w:p>
            <w:pPr>
              <w:pStyle w:val="Compact"/>
              <w:jc w:val="right"/>
            </w:pPr>
            <w:r>
              <w:t xml:space="preserve">0.002</w:t>
            </w:r>
          </w:p>
        </w:tc>
        <w:tc>
          <w:tcPr/>
          <w:p>
            <w:pPr>
              <w:pStyle w:val="Compact"/>
              <w:jc w:val="right"/>
            </w:pPr>
            <w:r>
              <w:t xml:space="preserve">0.004</w:t>
            </w:r>
          </w:p>
        </w:tc>
        <w:tc>
          <w:tcPr/>
          <w:p>
            <w:pPr>
              <w:pStyle w:val="Compact"/>
              <w:jc w:val="right"/>
            </w:pPr>
            <w:r>
              <w:t xml:space="preserve">0.001</w:t>
            </w:r>
          </w:p>
        </w:tc>
        <w:tc>
          <w:tcPr/>
          <w:p>
            <w:pPr>
              <w:pStyle w:val="Compact"/>
              <w:jc w:val="right"/>
            </w:pPr>
            <w:r>
              <w:t xml:space="preserve">0.004</w:t>
            </w:r>
          </w:p>
        </w:tc>
      </w:tr>
      <w:tr>
        <w:tc>
          <w:tcPr/>
          <w:p>
            <w:pPr>
              <w:pStyle w:val="Compact"/>
            </w:pPr>
            <w:r>
              <w:t xml:space="preserve">layer2_k_voting_3candidates_plus_consensus</w:t>
            </w:r>
          </w:p>
        </w:tc>
        <w:tc>
          <w:tcPr/>
          <w:p>
            <w:pPr>
              <w:pStyle w:val="Compact"/>
              <w:jc w:val="right"/>
            </w:pPr>
            <w:r>
              <w:t xml:space="preserve">0.017</w:t>
            </w:r>
          </w:p>
        </w:tc>
        <w:tc>
          <w:tcPr/>
          <w:p>
            <w:pPr>
              <w:pStyle w:val="Compact"/>
              <w:jc w:val="right"/>
            </w:pPr>
            <w:r>
              <w:t xml:space="preserve">0.020</w:t>
            </w:r>
          </w:p>
        </w:tc>
        <w:tc>
          <w:tcPr/>
          <w:p>
            <w:pPr>
              <w:pStyle w:val="Compact"/>
              <w:jc w:val="right"/>
            </w:pPr>
            <w:r>
              <w:t xml:space="preserve">0.015</w:t>
            </w:r>
          </w:p>
        </w:tc>
        <w:tc>
          <w:tcPr/>
          <w:p>
            <w:pPr>
              <w:pStyle w:val="Compact"/>
              <w:jc w:val="right"/>
            </w:pPr>
            <w:r>
              <w:t xml:space="preserve">0.020</w:t>
            </w:r>
          </w:p>
        </w:tc>
      </w:tr>
      <w:tr>
        <w:tc>
          <w:tcPr/>
          <w:p>
            <w:pPr>
              <w:pStyle w:val="Compact"/>
            </w:pPr>
            <w:r>
              <w:t xml:space="preserve">layer3_physics_and_standards</w:t>
            </w:r>
          </w:p>
        </w:tc>
        <w:tc>
          <w:tcPr/>
          <w:p>
            <w:pPr>
              <w:pStyle w:val="Compact"/>
              <w:jc w:val="right"/>
            </w:pPr>
            <w:r>
              <w:t xml:space="preserve">0.002</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r>
        <w:tc>
          <w:tcPr/>
          <w:p>
            <w:pPr>
              <w:pStyle w:val="Compact"/>
            </w:pPr>
            <w:r>
              <w:t xml:space="preserve">layer4_reverse_checks</w:t>
            </w:r>
          </w:p>
        </w:tc>
        <w:tc>
          <w:tcPr/>
          <w:p>
            <w:pPr>
              <w:pStyle w:val="Compact"/>
              <w:jc w:val="right"/>
            </w:pPr>
            <w:r>
              <w:t xml:space="preserve">0.003</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bl>
    <w:p>
      <w:pPr>
        <w:pStyle w:val="BodyText"/>
      </w:pPr>
      <w:r>
        <w:rPr>
          <w:b/>
          <w:bCs/>
        </w:rPr>
        <w:t xml:space="preserve">Cross-Discipline Validator (one paired call across 7 disciplines):</w:t>
      </w:r>
      <w:r>
        <w:t xml:space="preserve"> </w:t>
      </w:r>
      <w:r>
        <w:t xml:space="preserve">median 0.028 ms, p95 0.045 ms, min/max 0.021 / 0.045 ms.</w:t>
      </w:r>
    </w:p>
    <w:p>
      <w:pPr>
        <w:pStyle w:val="BodyText"/>
      </w:pPr>
      <w:r>
        <w:rPr>
          <w:b/>
          <w:bCs/>
        </w:rPr>
        <w:t xml:space="preserve">KOSHA RAG Retrieval (top-10):</w:t>
      </w:r>
      <w:r>
        <w:t xml:space="preserve"> </w:t>
      </w:r>
      <w:r>
        <w:t xml:space="preserve">query</w:t>
      </w:r>
      <w:r>
        <w:t xml:space="preserve"> </w:t>
      </w:r>
      <w:r>
        <w:rPr>
          <w:rStyle w:val="VerbatimChar"/>
        </w:rPr>
        <w:t xml:space="preserve">pressure vessel remaining life assessment</w:t>
      </w:r>
      <w:r>
        <w:t xml:space="preserve">, hit count 4, median 1.151 ms, p95 3.351 ms, min/max 1.018 / 3.351 ms.</w:t>
      </w:r>
    </w:p>
    <w:p>
      <w:pPr>
        <w:pStyle w:val="BodyText"/>
      </w:pPr>
      <w:r>
        <w:rPr>
          <w:b/>
          <w:bCs/>
        </w:rPr>
        <w:t xml:space="preserve">KOSHA RAG Generation (Qwen via Ollama):</w:t>
      </w:r>
      <w:r>
        <w:t xml:space="preserve"> </w:t>
      </w:r>
      <w:r>
        <w:t xml:space="preserve">model</w:t>
      </w:r>
      <w:r>
        <w:t xml:space="preserve"> </w:t>
      </w:r>
      <w:r>
        <w:rPr>
          <w:rStyle w:val="VerbatimChar"/>
        </w:rPr>
        <w:t xml:space="preserve">qwen3:4b</w:t>
      </w:r>
      <w:r>
        <w:t xml:space="preserve">, prompt 2,054 chars, median 41,725.0 ms, p95 62,277.2 ms, min/max 31,919.7 / 62,277.2 ms.</w:t>
      </w:r>
    </w:p>
    <w:p>
      <w:pPr>
        <w:pStyle w:val="BodyText"/>
      </w:pPr>
      <w:r>
        <w:rPr>
          <w:b/>
          <w:bCs/>
        </w:rPr>
        <w:t xml:space="preserve">End-to-End Median.</w:t>
      </w:r>
      <w:r>
        <w:t xml:space="preserve"> </w:t>
      </w:r>
      <w:r>
        <w:t xml:space="preserve">Composition: piping</w:t>
      </w:r>
      <w:r>
        <w:t xml:space="preserve"> </w:t>
      </w:r>
      <w:r>
        <w:rPr>
          <w:rStyle w:val="VerbatimChar"/>
        </w:rPr>
        <w:t xml:space="preserve">service.evaluate</w:t>
      </w:r>
      <w:r>
        <w:t xml:space="preserve"> </w:t>
      </w:r>
      <w:r>
        <w:t xml:space="preserve">median + cross-discipline validator median + RAG retrieval median (+ RAG generation median). End-to-end median:</w:t>
      </w:r>
      <w:r>
        <w:t xml:space="preserve"> </w:t>
      </w:r>
      <w:r>
        <w:rPr>
          <w:b/>
          <w:bCs/>
        </w:rPr>
        <w:t xml:space="preserve">41,726.22 ms</w:t>
      </w:r>
      <w:r>
        <w:t xml:space="preserve">.</w:t>
      </w:r>
    </w:p>
    <w:p>
      <w:pPr>
        <w:pStyle w:val="BodyText"/>
      </w:pPr>
      <w:r>
        <w:t xml:space="preserve">The deterministic stack (input validation, K-voting, physics/code compliance, reverse verification, cross-discipline validator, BM25 retrieval) completes in approximately 1.2 ms per case. The Qwen-family generation step on the on-premises Ollama server adds approximately 42 s median; this dominates end-to-end latency when full LLM grounding is requested. K-voting (L2) accounts for approximately 70% of within-engine layered latency, consistent with its use of three deliberately varied calculation paths.</w:t>
      </w:r>
    </w:p>
    <w:bookmarkEnd w:id="79"/>
    <w:bookmarkStart w:id="80" w:name="b.4-retrieval-failure-inventory"/>
    <w:p>
      <w:pPr>
        <w:pStyle w:val="Heading3"/>
      </w:pPr>
      <w:r>
        <w:t xml:space="preserve">B.4 Retrieval failure inventory</w:t>
      </w:r>
    </w:p>
    <w:p>
      <w:pPr>
        <w:pStyle w:val="FirstParagraph"/>
      </w:pPr>
      <w:r>
        <w:t xml:space="preserve">Honest disclosure of where retrieval still misses on the 50-query curated benchmark (</w:t>
      </w:r>
      <w:r>
        <w:rPr>
          <w:rStyle w:val="VerbatimChar"/>
        </w:rPr>
        <w:t xml:space="preserve">outputs/retrieval_failure_inventory.md</w:t>
      </w:r>
      <w:r>
        <w:t xml:space="preserve">; Enhanced FTS, K=5 threshold; failure rule:</w:t>
      </w:r>
      <w:r>
        <w:t xml:space="preserve"> </w:t>
      </w:r>
      <w:r>
        <w:rPr>
          <w:rStyle w:val="VerbatimChar"/>
        </w:rPr>
        <w:t xml:space="preserve">failure := first_relevant_rank &gt; 5 OR no relevant hit in top-10</w:t>
      </w:r>
      <w:r>
        <w:t xml:space="preserve">; failure count 7/50 = 0.1400):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Diagnosis</w:t>
            </w:r>
          </w:p>
        </w:tc>
        <w:tc>
          <w:tcPr/>
          <w:p>
            <w:pPr>
              <w:pStyle w:val="Compact"/>
              <w:jc w:val="right"/>
            </w:pPr>
            <w:r>
              <w:t xml:space="preserve">Count</w:t>
            </w:r>
          </w:p>
        </w:tc>
      </w:tr>
      <w:tr>
        <w:tc>
          <w:tcPr/>
          <w:p>
            <w:pPr>
              <w:pStyle w:val="Compact"/>
            </w:pPr>
            <w:r>
              <w:t xml:space="preserve">paraphrase_too_loose</w:t>
            </w:r>
          </w:p>
        </w:tc>
        <w:tc>
          <w:tcPr/>
          <w:p>
            <w:pPr>
              <w:pStyle w:val="Compact"/>
              <w:jc w:val="right"/>
            </w:pPr>
            <w:r>
              <w:t xml:space="preserve">6</w:t>
            </w:r>
          </w:p>
        </w:tc>
      </w:tr>
      <w:tr>
        <w:tc>
          <w:tcPr/>
          <w:p>
            <w:pPr>
              <w:pStyle w:val="Compact"/>
            </w:pPr>
            <w:r>
              <w:t xml:space="preserve">regulatory_class_mismatch</w:t>
            </w:r>
          </w:p>
        </w:tc>
        <w:tc>
          <w:tcPr/>
          <w:p>
            <w:pPr>
              <w:pStyle w:val="Compact"/>
              <w:jc w:val="right"/>
            </w:pPr>
            <w:r>
              <w:t xml:space="preserve">1</w:t>
            </w:r>
          </w:p>
        </w:tc>
      </w:tr>
    </w:tbl>
    <w:p>
      <w:pPr>
        <w:pStyle w:val="BodyText"/>
      </w:pPr>
      <w:r>
        <w:t xml:space="preserve">Diagnosis category definitions:</w:t>
      </w:r>
      <w:r>
        <w:t xml:space="preserve"> </w:t>
      </w:r>
      <w:r>
        <w:rPr>
          <w:rStyle w:val="VerbatimChar"/>
        </w:rPr>
        <w:t xml:space="preserve">paraphrase_too_loose</w:t>
      </w:r>
      <w:r>
        <w:t xml:space="preserve"> </w:t>
      </w:r>
      <w:r>
        <w:t xml:space="preserve">— the query phrasing diverges from the indexed chunk’s vocabulary beyond what the synonym expansion bridges;</w:t>
      </w:r>
      <w:r>
        <w:t xml:space="preserve"> </w:t>
      </w:r>
      <w:r>
        <w:rPr>
          <w:rStyle w:val="VerbatimChar"/>
        </w:rPr>
        <w:t xml:space="preserve">regulatory_class_mismatch</w:t>
      </w:r>
      <w:r>
        <w:t xml:space="preserve"> </w:t>
      </w:r>
      <w:r>
        <w:t xml:space="preserve">— the retrieval favours a guidance-class hit when the target is a mandatory provision (or vice versa). Six of seven failures fall in</w:t>
      </w:r>
      <w:r>
        <w:t xml:space="preserve"> </w:t>
      </w:r>
      <w:r>
        <w:rPr>
          <w:rStyle w:val="VerbatimChar"/>
        </w:rPr>
        <w:t xml:space="preserve">paraphrase_too_loose</w:t>
      </w:r>
      <w:r>
        <w:t xml:space="preserve">, concentrated in the C-C-23 RBI, B-M-18 piping life, C-C-75 corrosion risk, and Article 256 corrosion-prevention groups. This single dominant failure mode is an honest input for future work on a hybrid lexical + semantic retriever (§8 future research direction (3)).</w:t>
      </w:r>
    </w:p>
    <w:bookmarkEnd w:id="80"/>
    <w:bookmarkStart w:id="81" w:name="b.5-reproducibility"/>
    <w:p>
      <w:pPr>
        <w:pStyle w:val="Heading3"/>
      </w:pPr>
      <w:r>
        <w:t xml:space="preserve">B.5 Reproducibility</w:t>
      </w:r>
    </w:p>
    <w:p>
      <w:pPr>
        <w:pStyle w:val="FirstParagraph"/>
      </w:pPr>
      <w:r>
        <w:rPr>
          <w:rStyle w:val="VerbatimChar"/>
        </w:rPr>
        <w:t xml:space="preserve">scripts/reproduce_all.py</w:t>
      </w:r>
      <w:r>
        <w:t xml:space="preserve"> </w:t>
      </w:r>
      <w:r>
        <w:t xml:space="preserve">regenerates every figure, table, and</w:t>
      </w:r>
      <w:r>
        <w:t xml:space="preserve"> </w:t>
      </w:r>
      <w:r>
        <w:rPr>
          <w:rStyle w:val="VerbatimChar"/>
        </w:rPr>
        <w:t xml:space="preserve">outputs/*.md</w:t>
      </w:r>
      <w:r>
        <w:t xml:space="preserve"> </w:t>
      </w:r>
      <w:r>
        <w:t xml:space="preserve">cited in this manuscript with a single command from a clean repository state. End-to-end run on a clean checkout: 13/13 scripts complete successfully (</w:t>
      </w:r>
      <w:r>
        <w:rPr>
          <w:rStyle w:val="VerbatimChar"/>
        </w:rPr>
        <w:t xml:space="preserve">python scripts/reproduce_all.py</w:t>
      </w:r>
      <w:r>
        <w:t xml:space="preserve">). The KOSHA-corpus rebuild (network + 200 MB SQLite) is intentionally excluded from the runner and documented separately under</w:t>
      </w:r>
      <w:r>
        <w:t xml:space="preserve"> </w:t>
      </w:r>
      <w:r>
        <w:rPr>
          <w:rStyle w:val="VerbatimChar"/>
        </w:rPr>
        <w:t xml:space="preserve">scripts/sync_kosha_corpus.py</w:t>
      </w:r>
      <w:r>
        <w:t xml:space="preserve">.</w:t>
      </w:r>
    </w:p>
    <w:p>
      <w:r>
        <w:pict>
          <v:rect style="width:0;height:1.5pt" o:hralign="center" o:hrstd="t" o:hr="t"/>
        </w:pict>
      </w:r>
    </w:p>
    <w:bookmarkEnd w:id="81"/>
    <w:bookmarkEnd w:id="82"/>
    <w:bookmarkStart w:id="85" w:name="references"/>
    <w:p>
      <w:pPr>
        <w:pStyle w:val="Heading2"/>
      </w:pPr>
      <w:r>
        <w:t xml:space="preserve">References</w:t>
      </w:r>
    </w:p>
    <w:p>
      <w:pPr>
        <w:pStyle w:val="FirstParagraph"/>
      </w:pPr>
      <w:r>
        <w:rPr>
          <w:b/>
          <w:bCs/>
        </w:rPr>
        <w:t xml:space="preserve">[1]</w:t>
      </w:r>
      <w:r>
        <w:t xml:space="preserve"> </w:t>
      </w:r>
      <w:r>
        <w:t xml:space="preserve">Selvam, D.C., Raja, T., Vaghela, D.R., Meena, M., Tripathy, S., Kumar, B., Manjunath, H.R., Mehar, K., Devarajan, Y. (2026). Artificial intelligence in process safety: A review of opportunities, challenges, and future directions for the chemical process industries.</w:t>
      </w:r>
      <w:r>
        <w:t xml:space="preserve"> </w:t>
      </w:r>
      <w:r>
        <w:rPr>
          <w:i/>
          <w:iCs/>
        </w:rPr>
        <w:t xml:space="preserve">Journal of Loss Prevention in the Process Industries.</w:t>
      </w:r>
      <w:r>
        <w:t xml:space="preserve"> </w:t>
      </w:r>
      <w:r>
        <w:t xml:space="preserve">DOI: 10.1016/j.jlp.2026.105917</w:t>
      </w:r>
    </w:p>
    <w:p>
      <w:pPr>
        <w:pStyle w:val="BodyText"/>
      </w:pPr>
      <w:r>
        <w:rPr>
          <w:b/>
          <w:bCs/>
        </w:rPr>
        <w:t xml:space="preserve">[2]</w:t>
      </w:r>
      <w:r>
        <w:t xml:space="preserve"> </w:t>
      </w:r>
      <w:r>
        <w:t xml:space="preserve">Woo, T., Kim, S., Tariq, S., Heo, S., Yoo, C. (2025). Leveraging Generative AI and Large Language Model for Process Systems Engineering: A State-of-the-Art Review.</w:t>
      </w:r>
      <w:r>
        <w:t xml:space="preserve"> </w:t>
      </w:r>
      <w:r>
        <w:rPr>
          <w:i/>
          <w:iCs/>
        </w:rPr>
        <w:t xml:space="preserve">Korean Journal of Chemical Engineering,</w:t>
      </w:r>
      <w:r>
        <w:t xml:space="preserve"> </w:t>
      </w:r>
      <w:r>
        <w:t xml:space="preserve">42, 2787-2808. DOI: 10.1007/s11814-025-00524-y</w:t>
      </w:r>
    </w:p>
    <w:p>
      <w:pPr>
        <w:pStyle w:val="BodyText"/>
      </w:pPr>
      <w:r>
        <w:rPr>
          <w:b/>
          <w:bCs/>
        </w:rPr>
        <w:t xml:space="preserve">[3]</w:t>
      </w:r>
      <w:r>
        <w:t xml:space="preserve"> </w:t>
      </w:r>
      <w:r>
        <w:t xml:space="preserve">Elhosary, M. et al. (2024). LLM-assisted HAZOP study using retrieval-augmented generation.</w:t>
      </w:r>
      <w:r>
        <w:t xml:space="preserve"> </w:t>
      </w:r>
      <w:r>
        <w:rPr>
          <w:i/>
          <w:iCs/>
        </w:rPr>
        <w:t xml:space="preserve">IChemE Symposium Series No. 171: Hazards 34.</w:t>
      </w:r>
    </w:p>
    <w:p>
      <w:pPr>
        <w:pStyle w:val="BodyText"/>
      </w:pPr>
      <w:r>
        <w:rPr>
          <w:b/>
          <w:bCs/>
        </w:rPr>
        <w:t xml:space="preserve">[4]</w:t>
      </w:r>
      <w:r>
        <w:t xml:space="preserve"> </w:t>
      </w:r>
      <w:r>
        <w:t xml:space="preserve">Walavalkar, V. et al. (2021). Machine Learning and Deep Learning in Chemical Health and Safety: A Systematic Review of Techniques and Applications.</w:t>
      </w:r>
      <w:r>
        <w:t xml:space="preserve"> </w:t>
      </w:r>
      <w:r>
        <w:rPr>
          <w:i/>
          <w:iCs/>
        </w:rPr>
        <w:t xml:space="preserve">ACS Chemical Health &amp; Safety.</w:t>
      </w:r>
      <w:r>
        <w:t xml:space="preserve"> </w:t>
      </w:r>
      <w:r>
        <w:t xml:space="preserve">DOI: 10.1021/acs.chas.0c00075</w:t>
      </w:r>
    </w:p>
    <w:p>
      <w:pPr>
        <w:pStyle w:val="BodyText"/>
      </w:pPr>
      <w:r>
        <w:rPr>
          <w:b/>
          <w:bCs/>
        </w:rPr>
        <w:t xml:space="preserve">[5]</w:t>
      </w:r>
      <w:r>
        <w:t xml:space="preserve"> </w:t>
      </w:r>
      <w:r>
        <w:t xml:space="preserve">Lewis, P., Perez, E., Piktus, A. et al. (2020). Retrieval-Augmented Generation for Knowledge-Intensive NLP Tasks.</w:t>
      </w:r>
      <w:r>
        <w:t xml:space="preserve"> </w:t>
      </w:r>
      <w:r>
        <w:rPr>
          <w:i/>
          <w:iCs/>
        </w:rPr>
        <w:t xml:space="preserve">Advances in Neural Information Processing Systems (NeurIPS 2020),</w:t>
      </w:r>
      <w:r>
        <w:t xml:space="preserve"> </w:t>
      </w:r>
      <w:r>
        <w:t xml:space="preserve">33, 9459-9474.</w:t>
      </w:r>
    </w:p>
    <w:p>
      <w:pPr>
        <w:pStyle w:val="BodyText"/>
      </w:pPr>
      <w:r>
        <w:rPr>
          <w:b/>
          <w:bCs/>
        </w:rPr>
        <w:t xml:space="preserve">[6]</w:t>
      </w:r>
      <w:r>
        <w:t xml:space="preserve"> </w:t>
      </w:r>
      <w:r>
        <w:t xml:space="preserve">Walker, C., Aslansefat, K., Akram, M.N., Papadopoulos, Y. (2026). RAGuard: A Novel Approach for In-Context Safe Retrieval Augmented Generation for LLMs. In: Katsaros, P. (ed.)</w:t>
      </w:r>
      <w:r>
        <w:t xml:space="preserve"> </w:t>
      </w:r>
      <w:r>
        <w:rPr>
          <w:i/>
          <w:iCs/>
        </w:rPr>
        <w:t xml:space="preserve">Model-Based Safety and Assessment. IMBSA 2025.</w:t>
      </w:r>
      <w:r>
        <w:t xml:space="preserve"> </w:t>
      </w:r>
      <w:r>
        <w:t xml:space="preserve">Lecture Notes in Computer Science, vol 15755. Springer, Cham. DOI: 10.1007/978-3-032-05073-1_13</w:t>
      </w:r>
    </w:p>
    <w:p>
      <w:pPr>
        <w:pStyle w:val="BodyText"/>
      </w:pPr>
      <w:r>
        <w:rPr>
          <w:b/>
          <w:bCs/>
        </w:rPr>
        <w:t xml:space="preserve">[7]</w:t>
      </w:r>
      <w:r>
        <w:t xml:space="preserve"> </w:t>
      </w:r>
      <w:r>
        <w:t xml:space="preserve">Klesel, M., Wittmann, H.F. (2025). Retrieval-Augmented Generation (RAG).</w:t>
      </w:r>
      <w:r>
        <w:t xml:space="preserve"> </w:t>
      </w:r>
      <w:r>
        <w:rPr>
          <w:i/>
          <w:iCs/>
        </w:rPr>
        <w:t xml:space="preserve">Business &amp; Information Systems Engineering,</w:t>
      </w:r>
      <w:r>
        <w:t xml:space="preserve"> </w:t>
      </w:r>
      <w:r>
        <w:t xml:space="preserve">67(4), 551-561. DOI: 10.1007/s12599-025-00945-3</w:t>
      </w:r>
    </w:p>
    <w:p>
      <w:pPr>
        <w:pStyle w:val="BodyText"/>
      </w:pPr>
      <w:r>
        <w:rPr>
          <w:b/>
          <w:bCs/>
        </w:rPr>
        <w:t xml:space="preserve">[8]</w:t>
      </w:r>
      <w:r>
        <w:t xml:space="preserve"> </w:t>
      </w:r>
      <w:r>
        <w:t xml:space="preserve">Jones, J.F., Raj, V., Abas, P.E., Petra, M.I., Sivan, D., Satheesh Kumar, K., Jose, R., Mathew, S. (2025). Application of artificial intelligence for asset integrity management of offshore oil and gas pipelines.</w:t>
      </w:r>
      <w:r>
        <w:t xml:space="preserve"> </w:t>
      </w:r>
      <w:r>
        <w:rPr>
          <w:i/>
          <w:iCs/>
        </w:rPr>
        <w:t xml:space="preserve">Life Cycle Reliability and Safety Engineering.</w:t>
      </w:r>
      <w:r>
        <w:t xml:space="preserve"> </w:t>
      </w:r>
      <w:r>
        <w:t xml:space="preserve">DOI: 10.1007/s41872-025-00353-2</w:t>
      </w:r>
    </w:p>
    <w:p>
      <w:pPr>
        <w:pStyle w:val="BodyText"/>
      </w:pPr>
      <w:r>
        <w:rPr>
          <w:b/>
          <w:bCs/>
        </w:rPr>
        <w:t xml:space="preserve">[9]</w:t>
      </w:r>
      <w:r>
        <w:t xml:space="preserve"> </w:t>
      </w:r>
      <w:r>
        <w:t xml:space="preserve">Hector, I., Panjanathan, R. (2024). Predictive maintenance in Industry 4.0: a survey of planning models and machine learning techniques.</w:t>
      </w:r>
      <w:r>
        <w:t xml:space="preserve"> </w:t>
      </w:r>
      <w:r>
        <w:rPr>
          <w:i/>
          <w:iCs/>
        </w:rPr>
        <w:t xml:space="preserve">PeerJ Computer Science,</w:t>
      </w:r>
      <w:r>
        <w:t xml:space="preserve"> </w:t>
      </w:r>
      <w:r>
        <w:t xml:space="preserve">10, e2016. DOI: 10.7717/peerj-cs.2016</w:t>
      </w:r>
    </w:p>
    <w:p>
      <w:pPr>
        <w:pStyle w:val="BodyText"/>
      </w:pPr>
      <w:r>
        <w:rPr>
          <w:b/>
          <w:bCs/>
        </w:rPr>
        <w:t xml:space="preserve">[10]</w:t>
      </w:r>
      <w:r>
        <w:t xml:space="preserve"> </w:t>
      </w:r>
      <w:r>
        <w:t xml:space="preserve">Ait-Alla, A., Quandt, M., Lütjen, M., Freitag, M. (2022). On Predictive Maintenance in Industry 4.0: Overview, Models, and Challenges.</w:t>
      </w:r>
      <w:r>
        <w:t xml:space="preserve"> </w:t>
      </w:r>
      <w:r>
        <w:rPr>
          <w:i/>
          <w:iCs/>
        </w:rPr>
        <w:t xml:space="preserve">Applied Sciences,</w:t>
      </w:r>
      <w:r>
        <w:t xml:space="preserve"> </w:t>
      </w:r>
      <w:r>
        <w:t xml:space="preserve">12(16), 8081. DOI: 10.3390/app12168081</w:t>
      </w:r>
    </w:p>
    <w:p>
      <w:pPr>
        <w:pStyle w:val="BodyText"/>
      </w:pPr>
      <w:r>
        <w:rPr>
          <w:b/>
          <w:bCs/>
        </w:rPr>
        <w:t xml:space="preserve">[11]</w:t>
      </w:r>
      <w:r>
        <w:t xml:space="preserve"> </w:t>
      </w:r>
      <w:r>
        <w:t xml:space="preserve">Avizienis, A. (1985). The N-version approach to fault-tolerant software.</w:t>
      </w:r>
      <w:r>
        <w:t xml:space="preserve"> </w:t>
      </w:r>
      <w:r>
        <w:rPr>
          <w:i/>
          <w:iCs/>
        </w:rPr>
        <w:t xml:space="preserve">IEEE Transactions on Software Engineering,</w:t>
      </w:r>
      <w:r>
        <w:t xml:space="preserve"> </w:t>
      </w:r>
      <w:r>
        <w:t xml:space="preserve">SE-11(12), 1491-1501.</w:t>
      </w:r>
    </w:p>
    <w:p>
      <w:pPr>
        <w:pStyle w:val="BodyText"/>
      </w:pPr>
      <w:r>
        <w:rPr>
          <w:b/>
          <w:bCs/>
        </w:rPr>
        <w:t xml:space="preserve">[12]</w:t>
      </w:r>
      <w:r>
        <w:t xml:space="preserve"> </w:t>
      </w:r>
      <w:r>
        <w:t xml:space="preserve">Kim, H., Yi, J.-S., Jang, Y. (2022). Analyzing Patterns of Multi-cause Accidents From KOSHA’s Construction Injury Case Reports Utilizing Text Mining Methodology.</w:t>
      </w:r>
      <w:r>
        <w:t xml:space="preserve"> </w:t>
      </w:r>
      <w:r>
        <w:rPr>
          <w:i/>
          <w:iCs/>
        </w:rPr>
        <w:t xml:space="preserve">Journal of the Architectural Institute of Korea,</w:t>
      </w:r>
      <w:r>
        <w:t xml:space="preserve"> </w:t>
      </w:r>
      <w:r>
        <w:t xml:space="preserve">38(4), 237-244. DOI: 10.5659/JAIK.2022.38.4.237</w:t>
      </w:r>
    </w:p>
    <w:p>
      <w:pPr>
        <w:pStyle w:val="BodyText"/>
      </w:pPr>
      <w:r>
        <w:rPr>
          <w:b/>
          <w:bCs/>
        </w:rPr>
        <w:t xml:space="preserve">[13]</w:t>
      </w:r>
      <w:r>
        <w:t xml:space="preserve"> </w:t>
      </w:r>
      <w:r>
        <w:t xml:space="preserve">Lee, J., Ahn, S. (2025). Development of AI Prototype for Generating Construction Safety Guidelines Through Fine-Tuning of Large-Scale Language Model.</w:t>
      </w:r>
      <w:r>
        <w:t xml:space="preserve"> </w:t>
      </w:r>
      <w:r>
        <w:rPr>
          <w:i/>
          <w:iCs/>
        </w:rPr>
        <w:t xml:space="preserve">Korean Journal of Construction Engineering and Management,</w:t>
      </w:r>
      <w:r>
        <w:t xml:space="preserve"> </w:t>
      </w:r>
      <w:r>
        <w:t xml:space="preserve">26(2), 20-31. DOI: 10.6106/KJCEM.2025.26.2.020</w:t>
      </w:r>
    </w:p>
    <w:p>
      <w:pPr>
        <w:pStyle w:val="BodyText"/>
      </w:pPr>
      <w:r>
        <w:rPr>
          <w:b/>
          <w:bCs/>
        </w:rPr>
        <w:t xml:space="preserve">[14]</w:t>
      </w:r>
      <w:r>
        <w:t xml:space="preserve"> </w:t>
      </w:r>
      <w:r>
        <w:t xml:space="preserve">Robertson, S., Zaragoza, H. (2009). The Probabilistic Relevance Framework: BM25 and Beyond.</w:t>
      </w:r>
      <w:r>
        <w:t xml:space="preserve"> </w:t>
      </w:r>
      <w:r>
        <w:rPr>
          <w:i/>
          <w:iCs/>
        </w:rPr>
        <w:t xml:space="preserve">Foundations and Trends in Information Retrieval,</w:t>
      </w:r>
      <w:r>
        <w:t xml:space="preserve"> </w:t>
      </w:r>
      <w:r>
        <w:t xml:space="preserve">3(4), 333-389. DOI: 10.1561/1500000019</w:t>
      </w:r>
    </w:p>
    <w:p>
      <w:pPr>
        <w:pStyle w:val="BodyText"/>
      </w:pPr>
      <w:r>
        <w:rPr>
          <w:b/>
          <w:bCs/>
        </w:rPr>
        <w:t xml:space="preserve">[15]</w:t>
      </w:r>
      <w:r>
        <w:t xml:space="preserve"> </w:t>
      </w:r>
      <w:r>
        <w:t xml:space="preserve">Gao, Y., Xiong, Y., Huang, X. et al. (2024). Retrieval-Augmented Generation for Large Language Models: A Survey.</w:t>
      </w:r>
      <w:r>
        <w:t xml:space="preserve"> </w:t>
      </w:r>
      <w:r>
        <w:rPr>
          <w:i/>
          <w:iCs/>
        </w:rPr>
        <w:t xml:space="preserve">arXiv preprint arXiv:2312.10997.</w:t>
      </w:r>
    </w:p>
    <w:p>
      <w:pPr>
        <w:pStyle w:val="BodyText"/>
      </w:pPr>
      <w:r>
        <w:rPr>
          <w:b/>
          <w:bCs/>
        </w:rPr>
        <w:t xml:space="preserve">[16]</w:t>
      </w:r>
      <w:r>
        <w:t xml:space="preserve"> </w:t>
      </w:r>
      <w:r>
        <w:t xml:space="preserve">ASME (2022).</w:t>
      </w:r>
      <w:r>
        <w:t xml:space="preserve"> </w:t>
      </w:r>
      <w:r>
        <w:rPr>
          <w:i/>
          <w:iCs/>
        </w:rPr>
        <w:t xml:space="preserve">ASME B31.3-2022: Process Piping.</w:t>
      </w:r>
      <w:r>
        <w:t xml:space="preserve"> </w:t>
      </w:r>
      <w:r>
        <w:t xml:space="preserve">The American Society of Mechanical Engineers, New York.</w:t>
      </w:r>
    </w:p>
    <w:p>
      <w:pPr>
        <w:pStyle w:val="BodyText"/>
      </w:pPr>
      <w:r>
        <w:rPr>
          <w:b/>
          <w:bCs/>
        </w:rPr>
        <w:t xml:space="preserve">[17]</w:t>
      </w:r>
      <w:r>
        <w:t xml:space="preserve"> </w:t>
      </w:r>
      <w:r>
        <w:t xml:space="preserve">API (2020).</w:t>
      </w:r>
      <w:r>
        <w:t xml:space="preserve"> </w:t>
      </w:r>
      <w:r>
        <w:rPr>
          <w:i/>
          <w:iCs/>
        </w:rPr>
        <w:t xml:space="preserve">API 579-1/ASME FFS-1: Fitness-For-Service,</w:t>
      </w:r>
      <w:r>
        <w:t xml:space="preserve"> </w:t>
      </w:r>
      <w:r>
        <w:t xml:space="preserve">3rd ed. American Petroleum Institute, Washington, DC.</w:t>
      </w:r>
    </w:p>
    <w:p>
      <w:pPr>
        <w:pStyle w:val="BodyText"/>
      </w:pPr>
      <w:r>
        <w:rPr>
          <w:b/>
          <w:bCs/>
        </w:rPr>
        <w:t xml:space="preserve">[18]</w:t>
      </w:r>
      <w:r>
        <w:t xml:space="preserve"> </w:t>
      </w:r>
      <w:r>
        <w:t xml:space="preserve">KOSHA (2026).</w:t>
      </w:r>
      <w:r>
        <w:t xml:space="preserve"> </w:t>
      </w:r>
      <w:r>
        <w:rPr>
          <w:i/>
          <w:iCs/>
        </w:rPr>
        <w:t xml:space="preserve">KOSHA Guide Technical Regulations Portal.</w:t>
      </w:r>
      <w:r>
        <w:t xml:space="preserve"> </w:t>
      </w:r>
      <w:r>
        <w:t xml:space="preserve">Korea Occupational Safety and Health Agency. Available:</w:t>
      </w:r>
      <w:r>
        <w:t xml:space="preserve"> </w:t>
      </w:r>
      <w:hyperlink r:id="rId83">
        <w:r>
          <w:rPr>
            <w:rStyle w:val="Hyperlink"/>
          </w:rPr>
          <w:t xml:space="preserve">https://www.kosha.or.kr</w:t>
        </w:r>
      </w:hyperlink>
    </w:p>
    <w:p>
      <w:pPr>
        <w:pStyle w:val="BodyText"/>
      </w:pPr>
      <w:r>
        <w:rPr>
          <w:b/>
          <w:bCs/>
        </w:rPr>
        <w:t xml:space="preserve">[19]</w:t>
      </w:r>
      <w:r>
        <w:t xml:space="preserve"> </w:t>
      </w:r>
      <w:r>
        <w:t xml:space="preserve">Ministry of Employment and Labor, Republic of Korea.</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(Corrosion Prevention). Available via the National Law Information Center:</w:t>
      </w:r>
      <w:r>
        <w:t xml:space="preserve"> </w:t>
      </w:r>
      <w:hyperlink r:id="rId84">
        <w:r>
          <w:rPr>
            <w:rStyle w:val="Hyperlink"/>
          </w:rPr>
          <w:t xml:space="preserve">https://www.law.go.kr</w:t>
        </w:r>
      </w:hyperlink>
      <w:r>
        <w:t xml:space="preserve">.</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hyperlink" Id="rId66" Target="https://github.com/yuyongkim/did-you-check-kosha" TargetMode="External" /><Relationship Type="http://schemas.openxmlformats.org/officeDocument/2006/relationships/hyperlink" Id="rId83" Target="https://www.kosha.or.kr" TargetMode="External" /><Relationship Type="http://schemas.openxmlformats.org/officeDocument/2006/relationships/hyperlink" Id="rId84" Target="https://www.law.go.kr" TargetMode="External" /></Relationships>
</file>

<file path=word/_rels/footnotes.xml.rels><?xml version="1.0" encoding="UTF-8"?><Relationships xmlns="http://schemas.openxmlformats.org/package/2006/relationships"><Relationship Type="http://schemas.openxmlformats.org/officeDocument/2006/relationships/hyperlink" Id="rId66" Target="https://github.com/yuyongkim/did-you-check-kosha" TargetMode="External" /><Relationship Type="http://schemas.openxmlformats.org/officeDocument/2006/relationships/hyperlink" Id="rId83" Target="https://www.kosha.or.kr" TargetMode="External" /><Relationship Type="http://schemas.openxmlformats.org/officeDocument/2006/relationships/hyperlink" Id="rId84" Target="https://www.law.go.k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2026-05-10T14:58:32Z</dcterms:created>
  <dcterms:modified xsi:type="dcterms:W3CDTF">2026-05-10T14:58:32Z</dcterms:modified>
</cp:coreProperties>
</file>

<file path=docProps/custom.xml><?xml version="1.0" encoding="utf-8"?>
<Properties xmlns="http://schemas.openxmlformats.org/officeDocument/2006/custom-properties" xmlns:vt="http://schemas.openxmlformats.org/officeDocument/2006/docPropsVTypes"/>
</file>