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70 changed rows: 22 NEW, 36 REVISED, 12 DELETED. (Sections &gt;=95% identical between versions are not shown.)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FFF2CC"/>
            <w:vAlign w:val="top"/>
          </w:tcPr>
          <w:p>
            <w:r>
              <w:rPr>
                <w:sz w:val="16"/>
              </w:rPr>
              <w:t>1</w:t>
            </w:r>
          </w:p>
        </w:tc>
        <w:tc>
          <w:tcPr>
            <w:tcW w:type="dxa" w:w="2880"/>
            <w:shd w:val="clear" w:color="auto" w:fill="FFF2CC"/>
            <w:vAlign w:val="top"/>
          </w:tcPr>
          <w:p>
            <w:r>
              <w:rPr>
                <w:b/>
                <w:sz w:val="16"/>
              </w:rPr>
              <w:t xml:space="preserve">[REVISED] </w:t>
            </w:r>
            <w:r>
              <w:rPr>
                <w:sz w:val="16"/>
              </w:rPr>
              <w:t>Detecting Jurisdiction Compliance Gaps in Process Plant Engineering with Regulatory RAG</w:t>
            </w:r>
          </w:p>
        </w:tc>
        <w:tc>
          <w:tcPr>
            <w:tcW w:type="dxa" w:w="5760"/>
            <w:shd w:val="clear" w:color="auto" w:fill="FFF2CC"/>
            <w:vAlign w:val="top"/>
          </w:tcPr>
          <w:p>
            <w:r>
              <w:rPr>
                <w:sz w:val="16"/>
              </w:rPr>
              <w:t>Yuyong Kim University of Wisconsin–Madison, Madison, WI 53706, USA M.S. Data, Insights &amp; Analytics; B.S. Chemical &amp; Biological Engineering</w:t>
            </w:r>
          </w:p>
        </w:tc>
        <w:tc>
          <w:tcPr>
            <w:tcW w:type="dxa" w:w="5760"/>
            <w:shd w:val="clear" w:color="auto" w:fill="FFF2CC"/>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E2F0D9"/>
            <w:vAlign w:val="top"/>
          </w:tcPr>
          <w:p>
            <w:r>
              <w:rPr>
                <w:sz w:val="16"/>
              </w:rPr>
              <w:t>4</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5</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9</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10</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12</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13</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14</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15</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16</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19</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21</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25</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26</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27</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28</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30</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…[truncated]</w:t>
            </w:r>
          </w:p>
        </w:tc>
      </w:tr>
      <w:tr>
        <w:tc>
          <w:tcPr>
            <w:tcW w:type="dxa" w:w="576"/>
            <w:shd w:val="clear" w:color="auto" w:fill="E2F0D9"/>
            <w:vAlign w:val="top"/>
          </w:tcPr>
          <w:p>
            <w:r>
              <w:rPr>
                <w:sz w:val="16"/>
              </w:rPr>
              <w:t>31</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32</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33</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E2F0D9"/>
            <w:vAlign w:val="top"/>
          </w:tcPr>
          <w:p>
            <w:r>
              <w:rPr>
                <w:sz w:val="16"/>
              </w:rPr>
              <w:t>34</w:t>
            </w:r>
          </w:p>
        </w:tc>
        <w:tc>
          <w:tcPr>
            <w:tcW w:type="dxa" w:w="2880"/>
            <w:shd w:val="clear" w:color="auto" w:fill="E2F0D9"/>
            <w:vAlign w:val="top"/>
          </w:tcPr>
          <w:p>
            <w:r>
              <w:rPr>
                <w:b/>
                <w:sz w:val="16"/>
              </w:rPr>
              <w:t xml:space="preserve">[NEW] </w:t>
            </w:r>
            <w:r>
              <w:rPr>
                <w:sz w:val="16"/>
              </w:rPr>
              <w:t>7.2 Compliance co-pilot, not replacement: HAZOP / RBI / Digital Twin / Regulatory RAG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35</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36</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37</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38</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43</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50</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51</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53</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57</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58</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59</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60</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