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The industry baseline is not a human-expert comparison.</w:t>
      </w:r>
      <w:r>
        <w:t xml:space="preserve"> </w:t>
      </w:r>
      <w:r>
        <w:t xml:space="preserve">The</w:t>
      </w:r>
      <w:r>
        <w:t xml:space="preserve"> </w:t>
      </w:r>
      <w:r>
        <w:t xml:space="preserve">“ASME/API pass = compliance complete”</w:t>
      </w:r>
      <w:r>
        <w:t xml:space="preserve"> </w:t>
      </w:r>
      <w:r>
        <w:t xml:space="preserve">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2026-05-10T10:07:49Z</dcterms:created>
  <dcterms:modified xsi:type="dcterms:W3CDTF">2026-05-10T10:07:49Z</dcterms:modified>
</cp:coreProperties>
</file>

<file path=docProps/custom.xml><?xml version="1.0" encoding="utf-8"?>
<Properties xmlns="http://schemas.openxmlformats.org/officeDocument/2006/custom-properties" xmlns:vt="http://schemas.openxmlformats.org/officeDocument/2006/docPropsVTypes"/>
</file>