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23999dfa1c0aaae865a1030c4b29fefc3631146"/>
    <w:p>
      <w:pPr>
        <w:pStyle w:val="Heading1"/>
      </w:pPr>
      <w:r>
        <w:t xml:space="preserve">Change Summary — JLP-D-26-00414 (revision 2026-05-10)</w:t>
      </w:r>
    </w:p>
    <w:bookmarkStart w:id="9" w:name="quantitative-scope-of-revision"/>
    <w:p>
      <w:pPr>
        <w:pStyle w:val="Heading2"/>
      </w:pPr>
      <w:r>
        <w:t xml:space="preserve">Quantitative scope of revision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8"/>
        <w:gridCol w:w="2027"/>
        <w:gridCol w:w="2027"/>
        <w:gridCol w:w="3502"/>
      </w:tblGrid>
      <w:tr>
        <w:trPr>
          <w:tblHeader w:val="on"/>
        </w:trPr>
        <w:tc>
          <w:tcPr>
            <w:tcW w:type="dxa" w:w="1658"/>
          </w:tcPr>
          <w:p>
            <w:pPr>
              <w:pStyle w:val="Compact"/>
            </w:pPr>
            <w:r>
              <w:t xml:space="preserve">Metric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Initial submission (2026-03-31)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Revised submission (this)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Word count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4,928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12,984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4,928 -&gt; 12,984 (+8,056, +163%)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Sections (headings)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50 -&gt; 60 (+10, +20%)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Body paragraphs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160 -&gt; 249 (+89, +56%)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Tables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7 -&gt; 24 (+17, +243%)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Figures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 (new)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TL;DR.</w:t>
      </w:r>
      <w:r>
        <w:t xml:space="preserve"> </w:t>
      </w:r>
      <w:r>
        <w:t xml:space="preserve">The revised manuscript is</w:t>
      </w:r>
      <w:r>
        <w:t xml:space="preserve"> </w:t>
      </w:r>
      <w:r>
        <w:rPr>
          <w:b/>
          <w:bCs/>
        </w:rPr>
        <w:t xml:space="preserve">2.6x</w:t>
      </w:r>
      <w:r>
        <w:t xml:space="preserve"> </w:t>
      </w:r>
      <w:r>
        <w:t xml:space="preserve">the original word count, adds</w:t>
      </w:r>
      <w:r>
        <w:t xml:space="preserve"> </w:t>
      </w:r>
      <w:r>
        <w:rPr>
          <w:b/>
          <w:bCs/>
        </w:rPr>
        <w:t xml:space="preserve">17 new tables</w:t>
      </w:r>
      <w:r>
        <w:t xml:space="preserve">,</w:t>
      </w:r>
      <w:r>
        <w:t xml:space="preserve"> </w:t>
      </w:r>
      <w:r>
        <w:rPr>
          <w:b/>
          <w:bCs/>
        </w:rPr>
        <w:t xml:space="preserve">5 new figures</w:t>
      </w:r>
      <w:r>
        <w:t xml:space="preserve">, and</w:t>
      </w:r>
      <w:r>
        <w:t xml:space="preserve"> </w:t>
      </w:r>
      <w:r>
        <w:rPr>
          <w:b/>
          <w:bCs/>
        </w:rPr>
        <w:t xml:space="preserve">10 new sections</w:t>
      </w:r>
      <w:r>
        <w:t xml:space="preserve">. This is a major rewrite, not a typo pass.</w:t>
      </w:r>
    </w:p>
    <w:bookmarkEnd w:id="9"/>
    <w:bookmarkStart w:id="10" w:name="per-section-change-list"/>
    <w:p>
      <w:pPr>
        <w:pStyle w:val="Heading2"/>
      </w:pPr>
      <w:r>
        <w:t xml:space="preserve">Per-section change list</w:t>
      </w:r>
    </w:p>
    <w:p>
      <w:pPr>
        <w:pStyle w:val="FirstParagraph"/>
      </w:pPr>
      <w:r>
        <w:rPr>
          <w:b/>
          <w:bCs/>
        </w:rPr>
        <w:t xml:space="preserve">39 sections changed: 16 NEW + 23 REVISED.</w:t>
      </w:r>
      <w:r>
        <w:t xml:space="preserve"> </w:t>
      </w:r>
      <w:r>
        <w:t xml:space="preserve">Reviewer coverage in this list: R1 in ~21 rows, R2 in ~20 rows, R3 in ~3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"/>
        <w:gridCol w:w="2764"/>
        <w:gridCol w:w="645"/>
        <w:gridCol w:w="1105"/>
        <w:gridCol w:w="4331"/>
      </w:tblGrid>
      <w:tr>
        <w:trPr>
          <w:tblHeader w:val="on"/>
        </w:trP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Section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Triggered by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Abstract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synthetic results as implementation verification; tightened retrieval claims to stat-significant K (Recall@1, MRR@10 with paired-bootstrap 95% CI).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1. Introduction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Tightened motivation; introduced jurisdiction compliance gap terminology; clarified two-RQ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2.1 AI Applications in Process Safety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literature framing for process-safety AI.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2.2 RAG in Technical and Regulatory Domains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Revised RAG-in-regulatory-domains positioning.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2.3 Multi-Discipline Maintenance and AI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multi-discipline asset-integrity context.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2.4 Verification Methodology — N-Version / K-Voting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Strengthened N-version programming background relevant to K-voting rationale.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2.5 Korean PSM Regulation and KOSHA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Korean-jurisdiction regulatory background.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2.6 Position relative to HAZOP, RBI, Digital Twin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against HAZOP, RBI, and Digital Twin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3. System Architecture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Named deterministic state machine and orchestrator (pipeline.py); added Figure 1.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4.1 Corpus Construction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Corrected corpus counts to 1,327 guides + 3,102 statutory rows -&gt; 16,174 indexed entries (12 excluded for empty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4.2 Retrieval and Generation Pipeline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Formalised concept-aware query builder, synonym expansion, OR-fallback; added Figure 2.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4.3 KOSHA Regulatory Grounding — Mandatory vs Guidance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mandatory law-articles from KOSHA guides for citation policy.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4.4 Why standard EPC workflows do not cover these obligations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explaining the gap between EPC-standards review and KOSHA PSM coverage.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5.1 Domain Calculation Engines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Table 1 mapping seven engines -&gt; standards -&gt; source files.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5.2 Four-Layer Hybrid Verification Model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Layer-4 thresholds (2% warning, 5% escalation), aligned with reverse_check.py.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5.3 Cross-Discipline Consistency Validator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ten-pair coupling set; Figure 3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5.4 Why three paths and a 1% tolerance? — K-voting design rationale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giving design rationale for K-voting (3 paths, 1% tolerance).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6.1 Calculation Accuracy on the Golden Dataset (implementation verification)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220-case headline as implementation verification, not predictive validation; added benchmark-construction subsection.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6.2 Seven-Discipline Pipeline Evaluation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43-scenario pipeline-eval scope vs 60-scenario ablation in §6.3.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6.3 Cross-Discipline Validator Ablation (RQ1)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headline to 26/60 (+0.4333, drift-corrected); added per-failure-mode 22/3/1 partition; Figure 4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6.4 KOSHA RAG Regulatory Grounding — Three Cases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Each case now identifies the specific mandatory KOSHA article surfaced (Article 256 / 266 / B-M-18).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6.5 Curated Retrieval Benchmark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paired-bootstrap 95% CI; honest disclosure that Recall@3/</w:t>
            </w:r>
            <w:r>
              <w:t xml:space="preserve">@5</w:t>
            </w:r>
            <w:r>
              <w:t xml:space="preserve"> </w:t>
            </w:r>
            <w:r>
              <w:t xml:space="preserve">CI includes zero; Figure 5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 Industry-Baseline Comparison and Internal Ablation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industry baseline (ASME/API pass = compliance complete) 0/3 vs 3/3, plus four-layer ablation Table 7b.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6.6.3 Real-plant pipeline-execution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Body-level summary of VES-REAL-001 anonymised cryogenic flare-drum case; Article 266 surfaced naturally.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6.7 Citation Traceability and Negative-Case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on citation-traceability precision (100% by construction) and PIP-GOLD-003 negative case.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7.1 The jurisdiction compliance gap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gap definition tying calculation-only review to KOSHA PSM obligations.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7.2 Compliance co-pilot, not replacement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as a compliance co-pilot for HAZOP / RBI / Digital Twin / Regulatory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7.3 HAZOP scope clarification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knowledge-based / AI-assisted, not a replacement for dynamic HAZOP.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7.4 Fitness-for-Service vs EPC standards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FFS workflows from EPC-standards verification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7.5 Process-safety contribution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the process-safety contribution narrative.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7.6 Reproducibility and explainability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documenting end-to-end reproducibility (scripts/reproduce_all.py 13/13).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8. Limitations and Future Work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Expanded from 3 -&gt; 8 limitations including framework-vs-validated scope and benchmark-construction independence.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9. Conclusion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Synthesised the revised contribution: integrated platform, four-layer verification, KOSHA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Acknowledgements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blind-review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Acknowledgements reworded for strict blind-review compliance (no direct reviewer tokens in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Code and Data Availability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section with AGPL-3.0 code/data release statement.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Acronyms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acronym glossary (JLP house style).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Key Definitions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key-term definitions for clarity.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A. Real-Plant Data-Sheet Validation (VES-REAL-001)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anonymised real-plant cryogenic flare-drum case with UG-27 calculation + KOSHA RAG retrieval (both probe variants).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B — Extended validation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per-discipline accuracy, Recall@K (K = 1..10), pipeline latency, retrieval failure inventory, full reproducibility manifest.</w:t>
            </w:r>
          </w:p>
        </w:tc>
      </w:tr>
    </w:tbl>
    <w:p>
      <w:pPr>
        <w:pStyle w:val="BodyText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RESPONSE_TO_REVIEWERS_v2.docx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per-comment author response,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PAPER_JLP_REVISED_v3_MARKED.docx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word-level visual diff.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2026-05-10T14:17:39Z</dcterms:created>
  <dcterms:modified xsi:type="dcterms:W3CDTF">2026-05-10T14:17:39Z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