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We define the jurisdiction compliance gap between codes and Korean PSM regulation.</w:t>
      </w:r>
    </w:p>
    <w:p>
      <w:pPr>
        <w:pStyle w:val="Compact"/>
        <w:numPr>
          <w:ilvl w:val="0"/>
          <w:numId w:val="1001"/>
        </w:numPr>
      </w:pPr>
      <w:r>
        <w:t xml:space="preserve">A KOSHA-grounded RAG layer indexes 16,174 rows for jurisdiction-aware retrieval.</w:t>
      </w:r>
    </w:p>
    <w:p>
      <w:pPr>
        <w:pStyle w:val="Compact"/>
        <w:numPr>
          <w:ilvl w:val="0"/>
          <w:numId w:val="1001"/>
        </w:numPr>
      </w:pPr>
      <w:r>
        <w:t xml:space="preserve">Cross-discipline validator blocks 26/60; signal concentrated in piping-vessel.</w:t>
      </w:r>
    </w:p>
    <w:p>
      <w:pPr>
        <w:pStyle w:val="Compact"/>
        <w:numPr>
          <w:ilvl w:val="0"/>
          <w:numId w:val="1001"/>
        </w:numPr>
      </w:pPr>
      <w:r>
        <w:t xml:space="preserve">Enhanced regulatory retrieval lifts Recall@1 0.44→0.74 and MRR@10 0.5744→0.7933.</w:t>
      </w:r>
    </w:p>
    <w:p>
      <w:pPr>
        <w:pStyle w:val="Compact"/>
        <w:numPr>
          <w:ilvl w:val="0"/>
          <w:numId w:val="1001"/>
        </w:numPr>
      </w:pPr>
      <w:r>
        <w:t xml:space="preserve">End-to-end implementation verification on 220 synthetic golden cases, 7 disciplines.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2026-05-10T14:17:32Z</dcterms:created>
  <dcterms:modified xsi:type="dcterms:W3CDTF">2026-05-10T14:17:32Z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