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2.png" ContentType="image/png"/>
  <Override PartName="/word/media/rId40.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X12db9d99a5ba7d4a6ed195b593e01dda56b732f"/>
    <w:p>
      <w:pPr>
        <w:pStyle w:val="Heading1"/>
      </w:pPr>
      <w:r>
        <w:t xml:space="preserve">Detecting Jurisdiction Compliance Gaps in Process Plant Engineering with Regulatory RAG</w:t>
      </w:r>
    </w:p>
    <w:p>
      <w:pPr>
        <w:pStyle w:val="FirstParagraph"/>
      </w:pPr>
      <w:r>
        <w:rPr>
          <w:b/>
          <w:bCs/>
        </w:rPr>
        <w:t xml:space="preserve">Yuyong Kim</w:t>
      </w:r>
      <w:r>
        <w:t xml:space="preserve"> </w:t>
      </w:r>
      <w:r>
        <w:rPr>
          <w:i/>
          <w:iCs/>
        </w:rPr>
        <w:t xml:space="preserve">University of Wisconsin–Madison</w:t>
      </w:r>
      <w:r>
        <w:t xml:space="preserve"> </w:t>
      </w:r>
      <w:r>
        <w:t xml:space="preserve">ykim288@wisc.edu</w:t>
      </w:r>
    </w:p>
    <w:p>
      <w:pPr>
        <w:pStyle w:val="BodyText"/>
      </w:pPr>
      <w:r>
        <w:t xml:space="preserve">Manuscript number: JLP-D-26-00414 (revised)</w:t>
      </w:r>
    </w:p>
    <w:p>
      <w:r>
        <w:pict>
          <v:rect style="width:0;height:1.5pt" o:hralign="center" o:hrstd="t" o:hr="t"/>
        </w:pict>
      </w:r>
    </w:p>
    <w:bookmarkStart w:id="9"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9"/>
    <w:bookmarkStart w:id="13"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b/>
          <w:bCs/>
        </w:rPr>
        <w:t xml:space="preserve">framework scope</w:t>
      </w:r>
      <w:r>
        <w:t xml:space="preserve">. The empirical evidence presented in §6 covers a subset — the</w:t>
      </w:r>
      <w:r>
        <w:t xml:space="preserve"> </w:t>
      </w:r>
      <w:r>
        <w:rPr>
          <w:b/>
          <w:bCs/>
        </w:rPr>
        <w:t xml:space="preserve">validated scope</w:t>
      </w:r>
      <w:r>
        <w:t xml:space="preserve"> </w:t>
      </w:r>
      <w:r>
        <w:t xml:space="preserve">— concentrated in piping-vessel coupling (22 of 26 ablation detections); electrical-rotating, civil-rotating, instrumentation, and structural pairs are exercised at a more exploratory level. The two scopes are separated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1" name="Picture"/>
            <a:graphic>
              <a:graphicData uri="http://schemas.openxmlformats.org/drawingml/2006/picture">
                <pic:pic>
                  <pic:nvPicPr>
                    <pic:cNvPr descr="figures/fig_1_system_architecture.png" id="12" name="Picture"/>
                    <pic:cNvPicPr>
                      <a:picLocks noChangeArrowheads="1" noChangeAspect="1"/>
                    </pic:cNvPicPr>
                  </pic:nvPicPr>
                  <pic:blipFill>
                    <a:blip r:embed="rId10"/>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3"/>
    <w:bookmarkStart w:id="20" w:name="related-work"/>
    <w:p>
      <w:pPr>
        <w:pStyle w:val="Heading2"/>
      </w:pPr>
      <w:r>
        <w:t xml:space="preserve">2. Related Work</w:t>
      </w:r>
    </w:p>
    <w:bookmarkStart w:id="14"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4"/>
    <w:bookmarkStart w:id="15"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5"/>
    <w:bookmarkStart w:id="16"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6"/>
    <w:bookmarkStart w:id="17"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7"/>
    <w:bookmarkStart w:id="18"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8"/>
    <w:bookmarkStart w:id="19"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19"/>
    <w:bookmarkEnd w:id="20"/>
    <w:bookmarkStart w:id="21"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1"/>
    <w:bookmarkStart w:id="29" w:name="kosha-regulatory-knowledge-layer"/>
    <w:p>
      <w:pPr>
        <w:pStyle w:val="Heading2"/>
      </w:pPr>
      <w:r>
        <w:t xml:space="preserve">4. KOSHA Regulatory Knowledge Layer</w:t>
      </w:r>
    </w:p>
    <w:bookmarkStart w:id="25"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3" name="Picture"/>
            <a:graphic>
              <a:graphicData uri="http://schemas.openxmlformats.org/drawingml/2006/picture">
                <pic:pic>
                  <pic:nvPicPr>
                    <pic:cNvPr descr="figures/fig_2_rag_workflow.png" id="24" name="Picture"/>
                    <pic:cNvPicPr>
                      <a:picLocks noChangeArrowheads="1" noChangeAspect="1"/>
                    </pic:cNvPicPr>
                  </pic:nvPicPr>
                  <pic:blipFill>
                    <a:blip r:embed="rId22"/>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5"/>
    <w:bookmarkStart w:id="26"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6"/>
    <w:bookmarkStart w:id="27"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7"/>
    <w:bookmarkStart w:id="28"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8"/>
    <w:bookmarkEnd w:id="29"/>
    <w:bookmarkStart w:id="37" w:name="X05961d0007a6793ac375959d695db63ea004385"/>
    <w:p>
      <w:pPr>
        <w:pStyle w:val="Heading2"/>
      </w:pPr>
      <w:r>
        <w:t xml:space="preserve">5. Seven-Domain Calculation Engines and Four-Layer Verification</w:t>
      </w:r>
    </w:p>
    <w:bookmarkStart w:id="30"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0"/>
    <w:bookmarkStart w:id="31"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1"/>
    <w:bookmarkStart w:id="35"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3" name="Picture"/>
            <a:graphic>
              <a:graphicData uri="http://schemas.openxmlformats.org/drawingml/2006/picture">
                <pic:pic>
                  <pic:nvPicPr>
                    <pic:cNvPr descr="figures/fig_3_cross_discipline.png" id="34" name="Picture"/>
                    <pic:cNvPicPr>
                      <a:picLocks noChangeArrowheads="1" noChangeAspect="1"/>
                    </pic:cNvPicPr>
                  </pic:nvPicPr>
                  <pic:blipFill>
                    <a:blip r:embed="rId32"/>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5"/>
    <w:bookmarkStart w:id="36"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A formal threshold-sensitivity sweep (e.g., 0.1% / 0.5% / 1% / 2% / 5% reporting no-consensus rate, false-consensus rate, and boundary-flip count) is left to future work.</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6"/>
    <w:bookmarkEnd w:id="37"/>
    <w:bookmarkStart w:id="55"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8"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8"/>
    <w:bookmarkStart w:id="39"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39"/>
    <w:bookmarkStart w:id="43"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1" name="Picture"/>
            <a:graphic>
              <a:graphicData uri="http://schemas.openxmlformats.org/drawingml/2006/picture">
                <pic:pic>
                  <pic:nvPicPr>
                    <pic:cNvPr descr="figures/fig_4_ablation.png" id="42" name="Picture"/>
                    <pic:cNvPicPr>
                      <a:picLocks noChangeArrowheads="1" noChangeAspect="1"/>
                    </pic:cNvPicPr>
                  </pic:nvPicPr>
                  <pic:blipFill>
                    <a:blip r:embed="rId40"/>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3"/>
    <w:bookmarkStart w:id="47"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4"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4"/>
    <w:bookmarkStart w:id="45"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5"/>
    <w:bookmarkStart w:id="46"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6"/>
    <w:bookmarkEnd w:id="47"/>
    <w:bookmarkStart w:id="51"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49" name="Picture"/>
            <a:graphic>
              <a:graphicData uri="http://schemas.openxmlformats.org/drawingml/2006/picture">
                <pic:pic>
                  <pic:nvPicPr>
                    <pic:cNvPr descr="figures/fig_5_retrieval_metrics.png" id="50" name="Picture"/>
                    <pic:cNvPicPr>
                      <a:picLocks noChangeArrowheads="1" noChangeAspect="1"/>
                    </pic:cNvPicPr>
                  </pic:nvPicPr>
                  <pic:blipFill>
                    <a:blip r:embed="rId48"/>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1"/>
    <w:bookmarkStart w:id="53"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The industry baseline is not a human-expert comparison.</w:t>
      </w:r>
      <w:r>
        <w:t xml:space="preserve"> </w:t>
      </w:r>
      <w:r>
        <w:t xml:space="preserve">The</w:t>
      </w:r>
      <w:r>
        <w:t xml:space="preserve"> </w:t>
      </w:r>
      <w:r>
        <w:t xml:space="preserve">“ASME/API pass = compliance complete”</w:t>
      </w:r>
      <w:r>
        <w:t xml:space="preserve"> </w:t>
      </w:r>
      <w:r>
        <w:t xml:space="preserve">rule used in Table 7 is the prevailing decision rule in current EPC practice, not a benchmark against process engineers performing the same review. A prospective comparison against an independent panel of KOSHA PSM auditors or process engineers — for example, a blind review of system-flagged compliance gaps and inter-rater agreement with the human panel — is documented as future work in §8 Limitation 7 and is required before any claim of inter-rater reliability with human experts can be made.</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2" w:name="real-plant-pipeline-execution-evidence"/>
    <w:p>
      <w:pPr>
        <w:pStyle w:val="Heading4"/>
      </w:pPr>
      <w:r>
        <w:t xml:space="preserve">6.6.3 Real-plant pipeline-execution evidence</w:t>
      </w:r>
    </w:p>
    <w:p>
      <w:pPr>
        <w:pStyle w:val="FirstParagraph"/>
      </w:pPr>
      <w:r>
        <w:rPr>
          <w:b/>
          <w:bCs/>
        </w:rPr>
        <w:t xml:space="preserve">Headline.</w:t>
      </w:r>
      <w:r>
        <w:t xml:space="preserve"> </w:t>
      </w:r>
      <w:r>
        <w:t xml:space="preserve">Running the unmodified pipeline against an anonymised real-plant data sheet (VES-REAL-001) produces a deterministic ASME UG-27 governing thickness of</w:t>
      </w:r>
      <w:r>
        <w:t xml:space="preserve"> </w:t>
      </w:r>
      <w:r>
        <w:rPr>
          <w:b/>
          <w:bCs/>
        </w:rPr>
        <w:t xml:space="preserve">7.237 mm</w:t>
      </w:r>
      <w:r>
        <w:t xml:space="preserve"> </w:t>
      </w:r>
      <w:r>
        <w:t xml:space="preserve">and surfaces a mandatory KOSHA provision (</w:t>
      </w:r>
      <w:r>
        <w:rPr>
          <w:b/>
          <w:bCs/>
        </w:rPr>
        <w:t xml:space="preserve">Article 266</w:t>
      </w:r>
      <w:r>
        <w:t xml:space="preserve">, flare-path block-valve prohibition) at rank 5 of the retrieval — without any tuning to this case. The detailed evidence is summarised below and reproduced in full in Appendix A.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2"/>
    <w:bookmarkEnd w:id="53"/>
    <w:bookmarkStart w:id="54"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4"/>
    <w:bookmarkEnd w:id="55"/>
    <w:bookmarkStart w:id="62"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6"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6"/>
    <w:bookmarkStart w:id="57"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7"/>
    <w:bookmarkStart w:id="58"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8"/>
    <w:bookmarkStart w:id="59"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59"/>
    <w:bookmarkStart w:id="60"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0"/>
    <w:bookmarkStart w:id="61"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1"/>
    <w:bookmarkEnd w:id="62"/>
    <w:bookmarkStart w:id="63"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3"/>
    <w:bookmarkStart w:id="64"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4"/>
    <w:bookmarkStart w:id="65" w:name="acknowledgements"/>
    <w:p>
      <w:pPr>
        <w:pStyle w:val="Heading2"/>
      </w:pPr>
      <w:r>
        <w:t xml:space="preserve">Acknowledgements</w:t>
      </w:r>
    </w:p>
    <w:p>
      <w:pPr>
        <w:pStyle w:val="FirstParagraph"/>
      </w:pPr>
      <w:r>
        <w:t xml:space="preserve">The author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5"/>
    <w:bookmarkStart w:id="67"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6">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7"/>
    <w:bookmarkStart w:id="68"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8"/>
    <w:bookmarkStart w:id="69"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69"/>
    <w:bookmarkStart w:id="76" w:name="Xceb22bef39ff670645289b7fb9b0af3b47b6fdb"/>
    <w:p>
      <w:pPr>
        <w:pStyle w:val="Heading2"/>
      </w:pPr>
      <w:r>
        <w:t xml:space="preserve">Appendix A. Real-Plant Data-Sheet Validation (VES-REAL-001)</w:t>
      </w:r>
    </w:p>
    <w:bookmarkStart w:id="70"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0"/>
    <w:bookmarkStart w:id="71"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1"/>
    <w:bookmarkStart w:id="72"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2"/>
    <w:bookmarkStart w:id="73"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3"/>
    <w:bookmarkStart w:id="74"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4"/>
    <w:bookmarkStart w:id="75"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5"/>
    <w:bookmarkEnd w:id="76"/>
    <w:bookmarkStart w:id="82"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7"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7"/>
    <w:bookmarkStart w:id="78"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8"/>
    <w:bookmarkStart w:id="79"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79"/>
    <w:bookmarkStart w:id="80"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0"/>
    <w:bookmarkStart w:id="81"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1"/>
    <w:bookmarkEnd w:id="82"/>
    <w:bookmarkStart w:id="85"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3">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4">
        <w:r>
          <w:rPr>
            <w:rStyle w:val="Hyperlink"/>
          </w:rPr>
          <w:t xml:space="preserve">https://www.law.go.kr</w:t>
        </w:r>
      </w:hyperlink>
      <w:r>
        <w:t xml:space="preserve">.</w:t>
      </w:r>
    </w:p>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6" Target="https://github.com/yuyongkim/did-you-check-kosha" TargetMode="External" /><Relationship Type="http://schemas.openxmlformats.org/officeDocument/2006/relationships/hyperlink" Id="rId83" Target="https://www.kosha.or.kr" TargetMode="External" /><Relationship Type="http://schemas.openxmlformats.org/officeDocument/2006/relationships/hyperlink" Id="rId84"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2026-05-10T14:17:31Z</dcterms:created>
  <dcterms:modified xsi:type="dcterms:W3CDTF">2026-05-10T14:17:31Z</dcterms:modified>
</cp:coreProperties>
</file>

<file path=docProps/custom.xml><?xml version="1.0" encoding="utf-8"?>
<Properties xmlns="http://schemas.openxmlformats.org/officeDocument/2006/custom-properties" xmlns:vt="http://schemas.openxmlformats.org/officeDocument/2006/docPropsVTypes"/>
</file>