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Detecting Jurisdiction Compliance Gaps in Process Plant Engineering with Regulatory RAG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2026-05-08</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pPr>
        <w:pStyle w:val="BodyText"/>
      </w:pPr>
      <w:r>
        <w:rPr>
          <w:b/>
          <w:bCs/>
        </w:rPr>
        <w:t xml:space="preserve">Peer-reading feedback (added in this revision pass).</w:t>
      </w:r>
      <w:r>
        <w:t xml:space="preserve"> </w:t>
      </w:r>
      <w:r>
        <w:t xml:space="preserve">Three additional Limitations sentences (§8 items 1, 3, 4) were added per peer-reading feedback received during revision preparation, making the implementation-verification-vs-predictive distinction, the piping-vessel coupling concentration, and the K≥3 retrieval CI-includes-zero caveat explicit at the limitations level rather than only inline. The same pass added a query-generation-independence acknowledgement to §6.5, retoned the VES-REAL-001 framing from</w:t>
      </w:r>
      <w:r>
        <w:t xml:space="preserve"> </w:t>
      </w:r>
      <w:r>
        <w:t xml:space="preserve">“dual validation”</w:t>
      </w:r>
      <w:r>
        <w:t xml:space="preserve"> </w:t>
      </w:r>
      <w:r>
        <w:t xml:space="preserve">to pipeline-execution evidence (§A.5/§A.6), and applied the claim-downscaling clauses described above.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p>
      <w:pPr>
        <w:pStyle w:val="BodyText"/>
      </w:pPr>
      <w:r>
        <w:rPr>
          <w:i/>
          <w:iCs/>
        </w:rPr>
        <w:t xml:space="preserve">Supplementary (post-revision):</w:t>
      </w:r>
      <w:r>
        <w:t xml:space="preserve"> </w:t>
      </w:r>
      <w:r>
        <w:t xml:space="preserve">Appendix B.1 reports the per-discipline calculation accuracy verbatim from</w:t>
      </w:r>
      <w:r>
        <w:t xml:space="preserve"> </w:t>
      </w:r>
      <w:r>
        <w:rPr>
          <w:rStyle w:val="VerbatimChar"/>
        </w:rPr>
        <w:t xml:space="preserve">outputs/per_discipline_accuracy.md</w:t>
      </w:r>
      <w:r>
        <w:t xml:space="preserve">: piping 50/50, vessel 30/30, rotating 30/30, electrical 30/30, instrumentation 30/30, steel 25/25, civil 25/25 — all 1.0000 with red-flag precision and recall both 1.0000 across every discipline. We deliberately surface the caveat that this measures self-consistency rather than external ground-truth fidelity (Limitation 8, §8) so that the uniform accuracy is not over-read.</w:t>
      </w:r>
    </w:p>
    <w:p>
      <w:pPr>
        <w:pStyle w:val="BodyText"/>
      </w:pPr>
      <w:r>
        <w:rPr>
          <w:i/>
          <w:iCs/>
        </w:rPr>
        <w:t xml:space="preserve">Supplementary (claim downscaling, added per peer-reading feedback):</w:t>
      </w:r>
      <w:r>
        <w:t xml:space="preserve"> </w:t>
      </w:r>
      <w:r>
        <w:t xml:space="preserve">The Abstract, §1 contributions, and §9 Conclusion now explicitly state that the cross-discipline evidence is concentrated in piping-vessel coupling (22 of 26 detections) and remains exploratory in the remaining pairs. The</w:t>
      </w:r>
      <w:r>
        <w:t xml:space="preserve"> </w:t>
      </w:r>
      <w:r>
        <w:t xml:space="preserve">“seven-discipline integrated framework”</w:t>
      </w:r>
      <w:r>
        <w:t xml:space="preserve"> </w:t>
      </w:r>
      <w:r>
        <w:t xml:space="preserve">framing is preserved as an architectural claim but no longer presented as evenly validated empirical evidence across all seven disciplines. A new</w:t>
      </w:r>
      <w:r>
        <w:t xml:space="preserve"> </w:t>
      </w:r>
      <w:r>
        <w:rPr>
          <w:b/>
          <w:bCs/>
        </w:rPr>
        <w:t xml:space="preserve">Scope statement</w:t>
      </w:r>
      <w:r>
        <w:t xml:space="preserve"> </w:t>
      </w:r>
      <w:r>
        <w:t xml:space="preserve">in §1 (and a short pre-§7.1 paragraph at the open of §7) makes the</w:t>
      </w:r>
      <w:r>
        <w:t xml:space="preserve"> </w:t>
      </w:r>
      <w:r>
        <w:rPr>
          <w:i/>
          <w:iCs/>
        </w:rPr>
        <w:t xml:space="preserve">framework scope</w:t>
      </w:r>
      <w:r>
        <w:t xml:space="preserve"> </w:t>
      </w:r>
      <w:r>
        <w:t xml:space="preserve">(architecture spanning seven disciplines and four verification layers) explicitly distinct from the</w:t>
      </w:r>
      <w:r>
        <w:t xml:space="preserve"> </w:t>
      </w:r>
      <w:r>
        <w:rPr>
          <w:i/>
          <w:iCs/>
        </w:rPr>
        <w:t xml:space="preserve">validated scope</w:t>
      </w:r>
      <w:r>
        <w:t xml:space="preserve"> </w:t>
      </w:r>
      <w:r>
        <w:t xml:space="preserve">(densest empirical evidence in piping-vessel; the other discipline pairs are exploratory), so a reader cannot misread the architectural seven-discipline claim as uniformly validated empirical coverage.</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pPr>
        <w:pStyle w:val="BodyText"/>
      </w:pPr>
      <w:r>
        <w:rPr>
          <w:b/>
          <w:bCs/>
        </w:rPr>
        <w:t xml:space="preserve">Supplement (real-plant pipeline-execution evidence, added in this revision).</w:t>
      </w:r>
      <w:r>
        <w:t xml:space="preserve"> </w:t>
      </w:r>
      <w:r>
        <w:t xml:space="preserve">To address the synthetic-data-only objection with positive evidence rather than only with the framing argument above, we added</w:t>
      </w:r>
      <w:r>
        <w:t xml:space="preserve"> </w:t>
      </w:r>
      <w:r>
        <w:rPr>
          <w:b/>
          <w:bCs/>
        </w:rPr>
        <w:t xml:space="preserve">Appendix A — Real-Plant Data-Sheet Validation (VES-REAL-001)</w:t>
      </w:r>
      <w:r>
        <w:t xml:space="preserve"> </w:t>
      </w:r>
      <w:r>
        <w:t xml:space="preserve">to the manuscript. VES-REAL-001 is an anonymised cryogenic flare knockout drum (SA-240 304/304L, 0.343 MPa(g) + Full Vacuum, 190 °C / -190 °C, ID 5,000 mm, T-T 20,400 mm) drawn from an operating petrochemical project; all client/contractor/licensor/personnel/location/document-ID identifiers were stripped before inclusion. Running the unmodified pipeline produces a deterministic UG-27 controlling thickness of</w:t>
      </w:r>
      <w:r>
        <w:t xml:space="preserve"> </w:t>
      </w:r>
      <w:r>
        <w:rPr>
          <w:b/>
          <w:bCs/>
        </w:rPr>
        <w:t xml:space="preserve">7.237 mm</w:t>
      </w:r>
      <w:r>
        <w:t xml:space="preserve"> </w:t>
      </w:r>
      <w:r>
        <w:t xml:space="preserve">at the +190 °C side (engine confidence</w:t>
      </w:r>
      <w:r>
        <w:t xml:space="preserve"> </w:t>
      </w:r>
      <w:r>
        <w:rPr>
          <w:rStyle w:val="VerbatimChar"/>
        </w:rPr>
        <w:t xml:space="preserve">medium</w:t>
      </w:r>
      <w:r>
        <w:t xml:space="preserve">, no red flags) and a KOSHA RAG retrieval that, on the spec-faithful query, returns</w:t>
      </w:r>
      <w:r>
        <w:t xml:space="preserve"> </w:t>
      </w:r>
      <w:r>
        <w:rPr>
          <w:b/>
          <w:bCs/>
        </w:rPr>
        <w:t xml:space="preserve">2 mandatory law-article hits + 8 KOSHA technical guides</w:t>
      </w:r>
      <w:r>
        <w:t xml:space="preserve"> </w:t>
      </w:r>
      <w:r>
        <w:t xml:space="preserve">in the top-10 (top-1 guidance:</w:t>
      </w:r>
      <w:r>
        <w:t xml:space="preserve"> </w:t>
      </w:r>
      <w:r>
        <w:rPr>
          <w:rStyle w:val="VerbatimChar"/>
        </w:rPr>
        <w:t xml:space="preserve">M-111-2015</w:t>
      </w:r>
      <w:r>
        <w:t xml:space="preserve"> </w:t>
      </w:r>
      <w:r>
        <w:t xml:space="preserve">Pressure Vessel Weld Design Technical Guide; rank-2 mandatory: 안전검사 고시 제9조). A narrower Korean-term probe additionally surfaces</w:t>
      </w:r>
      <w:r>
        <w:t xml:space="preserve"> </w:t>
      </w:r>
      <w:r>
        <w:rPr>
          <w:b/>
          <w:bCs/>
        </w:rPr>
        <w:t xml:space="preserve">Article 266</w:t>
      </w:r>
      <w:r>
        <w:t xml:space="preserve"> </w:t>
      </w:r>
      <w:r>
        <w:t xml:space="preserve">of the</w:t>
      </w:r>
      <w:r>
        <w:t xml:space="preserve"> </w:t>
      </w:r>
      <w:r>
        <w:rPr>
          <w:i/>
          <w:iCs/>
        </w:rPr>
        <w:t xml:space="preserve">Rules on Occupational Safety and Health Standards</w:t>
      </w:r>
      <w:r>
        <w:t xml:space="preserve"> </w:t>
      </w:r>
      <w:r>
        <w:t xml:space="preserve">(block-valve prohibition on flare and relief paths) at rank 5. The full evidence is reproducible from</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We position this as</w:t>
      </w:r>
      <w:r>
        <w:t xml:space="preserve"> </w:t>
      </w:r>
      <w:r>
        <w:rPr>
          <w:b/>
          <w:bCs/>
        </w:rPr>
        <w:t xml:space="preserve">synthetic golden cases + real-plant pipeline-execution evidence</w:t>
      </w:r>
      <w:r>
        <w:t xml:space="preserve"> </w:t>
      </w:r>
      <w:r>
        <w:t xml:space="preserve">rather than dual external validation: the appendix demonstrates that the engine and the retrieval pipeline run cleanly on a real EPC data sheet and surface a jurisdiction-relevant mandatory provision, but it does not constitute external accuracy validation against an independently audited reference (the data sheet supplies design inputs but no independently measured outputs). Predictive validation against real failure outcomes remains the open future-work item (§8 Limitation 1).</w:t>
      </w:r>
    </w:p>
    <w:p>
      <w:pPr>
        <w:pStyle w:val="BodyText"/>
      </w:pPr>
      <w:r>
        <w:rPr>
          <w:i/>
          <w:iCs/>
        </w:rPr>
        <w:t xml:space="preserve">On the question of independent expert validation:</w:t>
      </w:r>
      <w:r>
        <w:t xml:space="preserve"> </w:t>
      </w:r>
      <w:r>
        <w:t xml:space="preserve">The principal author is a process plant engineer with 12+ years of petrochemical EPC experience; the calculation-engine rules and the case construction encode that domain practice. We deliberately do not claim that this constitutes independent validation — that requires a disjoint expert panel and is documented as Limitation 7 (§8) and as a prospective future-work item against external KOSHA PSM auditors.</w:t>
      </w:r>
    </w:p>
    <w:p>
      <w:pPr>
        <w:pStyle w:val="BodyText"/>
      </w:pPr>
      <w:r>
        <w:rPr>
          <w:i/>
          <w:iCs/>
        </w:rPr>
        <w:t xml:space="preserve">On the question of benchmark construction independence (extended in this revision pass):</w:t>
      </w:r>
      <w:r>
        <w:t xml:space="preserve"> </w:t>
      </w:r>
      <w:r>
        <w:t xml:space="preserve">Beyond the query-set authorship caveat already discussed under R2.3, §6.1 now carries an explicit</w:t>
      </w:r>
      <w:r>
        <w:t xml:space="preserve"> </w:t>
      </w:r>
      <w:r>
        <w:rPr>
          <w:b/>
          <w:bCs/>
        </w:rPr>
        <w:t xml:space="preserve">Benchmark construction independence — known limitation</w:t>
      </w:r>
      <w:r>
        <w:t xml:space="preserve"> </w:t>
      </w:r>
      <w:r>
        <w:t xml:space="preserve">paragraph acknowledging that all three synthetic case datasets (220 golden cases per §6.1, 60 cross-discipline scenarios per §6.3, and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 aligning the synthetic-case bias acknowledgement with the query-bias acknowledgement under R2.3.</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this distinction:</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(the manuscript phrasing avoids any direct attribution to a reviewer in compliance with blind-review formatting).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p>
      <w:pPr>
        <w:pStyle w:val="BodyText"/>
      </w:pPr>
      <w:r>
        <w:rPr>
          <w:i/>
          <w:iCs/>
        </w:rPr>
        <w:t xml:space="preserve">Supplementary (post-revision):</w:t>
      </w:r>
      <w:r>
        <w:t xml:space="preserve"> </w:t>
      </w:r>
      <w:r>
        <w:t xml:space="preserve">The recall analysis is now extended to K=10 (Appendix B.2,</w:t>
      </w:r>
      <w:r>
        <w:t xml:space="preserve"> </w:t>
      </w:r>
      <w:r>
        <w:rPr>
          <w:rStyle w:val="VerbatimChar"/>
        </w:rPr>
        <w:t xml:space="preserve">outputs/rag_retrieval_extended.md</w:t>
      </w:r>
      <w:r>
        <w:t xml:space="preserve">). The Enhanced FTS curve saturates at 0.8621 from K = 3, and the Plain FTS curve continues to climb to 0.8012 at K∈{9, 10}; the paired-bootstrap 95% CI on the Enhanced − Plain delta excludes zero only at K∈{1, 2}. We additionally publish a retrieval failure inventory (Appendix B.4) tagging every K=5 miss with one of two diagnosis categories — six of seven failures fall in</w:t>
      </w:r>
      <w:r>
        <w:t xml:space="preserve"> </w:t>
      </w:r>
      <w:r>
        <w:rPr>
          <w:rStyle w:val="VerbatimChar"/>
        </w:rPr>
        <w:t xml:space="preserve">paraphrase_too_loose</w:t>
      </w:r>
      <w:r>
        <w:t xml:space="preserve"> </w:t>
      </w:r>
      <w:r>
        <w:t xml:space="preserve">— to make the residual weakness inspectable rather than hidden.</w:t>
      </w:r>
    </w:p>
    <w:p>
      <w:pPr>
        <w:pStyle w:val="BodyText"/>
      </w:pPr>
      <w:r>
        <w:rPr>
          <w:i/>
          <w:iCs/>
        </w:rPr>
        <w:t xml:space="preserve">Supplementary (query-generation independence, added per peer-reading feedback):</w:t>
      </w:r>
      <w:r>
        <w:t xml:space="preserve"> </w:t>
      </w:r>
      <w:r>
        <w:t xml:space="preserve">§6.5 now explicitly acknowledges that the 50 queries were authored by the same person who designed the system. We mitigate the bias risk by (a) constraining query construction to plausible engineering paraphrasings drawn from KOSHA technical guideline titles and established Korean engineering vocabulary rather than from the system’s internal synonym list, (b) releasing the full query set under</w:t>
      </w:r>
      <w:r>
        <w:t xml:space="preserve"> </w:t>
      </w:r>
      <w:r>
        <w:rPr>
          <w:rStyle w:val="VerbatimChar"/>
        </w:rPr>
        <w:t xml:space="preserve">datasets/kosha_rag/rag_eval_queries.json</w:t>
      </w:r>
      <w:r>
        <w:t xml:space="preserve"> </w:t>
      </w:r>
      <w:r>
        <w:t xml:space="preserve">for independent inspection, and (c) reporting the failure inventory above — six of seven failures fall in</w:t>
      </w:r>
      <w:r>
        <w:t xml:space="preserve"> </w:t>
      </w:r>
      <w:r>
        <w:rPr>
          <w:rStyle w:val="VerbatimChar"/>
        </w:rPr>
        <w:t xml:space="preserve">paraphrase_too_loose</w:t>
      </w:r>
      <w:r>
        <w:t xml:space="preserve">, the failure mode an independently authored query set would also expose. Independent query-set authorship by a disjoint annotator pool is documented as a future-work item (§8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2026-05-10T14:17:32Z</dcterms:created>
  <dcterms:modified xsi:type="dcterms:W3CDTF">2026-05-10T14:17:32Z</dcterms:modified>
</cp:coreProperties>
</file>

<file path=docProps/custom.xml><?xml version="1.0" encoding="utf-8"?>
<Properties xmlns="http://schemas.openxmlformats.org/officeDocument/2006/custom-properties" xmlns:vt="http://schemas.openxmlformats.org/officeDocument/2006/docPropsVTypes"/>
</file>