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23999dfa1c0aaae865a1030c4b29fefc3631146"/>
    <w:p>
      <w:pPr>
        <w:pStyle w:val="Heading1"/>
      </w:pPr>
      <w:r>
        <w:t xml:space="preserve">Change Summary — JLP-D-26-00414 (revision 2026-05-10)</w:t>
      </w:r>
    </w:p>
    <w:bookmarkStart w:id="9" w:name="quantitative-scope-of-revision"/>
    <w:p>
      <w:pPr>
        <w:pStyle w:val="Heading2"/>
      </w:pPr>
      <w:r>
        <w:t xml:space="preserve">Quantitative scope of revision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8"/>
        <w:gridCol w:w="2027"/>
        <w:gridCol w:w="2027"/>
        <w:gridCol w:w="3502"/>
      </w:tblGrid>
      <w:tr>
        <w:trPr>
          <w:tblHeader w:val="on"/>
        </w:trPr>
        <w:tc>
          <w:tcPr>
            <w:tcW w:type="dxa" w:w="1658"/>
          </w:tcPr>
          <w:p>
            <w:pPr>
              <w:pStyle w:val="Compact"/>
            </w:pPr>
            <w:r>
              <w:t xml:space="preserve">Metric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Initial submission (2026-03-31)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Revised submission (this)</w:t>
            </w:r>
          </w:p>
        </w:tc>
        <w:tc>
          <w:tcPr>
            <w:tcW w:type="dxa" w:w="3502"/>
          </w:tcPr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>
            <w:tcW w:type="dxa" w:w="1658"/>
          </w:tcPr>
          <w:p>
            <w:pPr>
              <w:pStyle w:val="Compact"/>
            </w:pPr>
            <w:r>
              <w:t xml:space="preserve">Word count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4,928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12,937</w:t>
            </w:r>
          </w:p>
        </w:tc>
        <w:tc>
          <w:tcPr>
            <w:tcW w:type="dxa" w:w="3502"/>
          </w:tcPr>
          <w:p>
            <w:pPr>
              <w:pStyle w:val="Compact"/>
            </w:pPr>
            <w:r>
              <w:t xml:space="preserve">4,928 -&gt; 12,937 (+8,009, +163%)</w:t>
            </w:r>
          </w:p>
        </w:tc>
      </w:tr>
      <w:tr>
        <w:tc>
          <w:tcPr>
            <w:tcW w:type="dxa" w:w="1658"/>
          </w:tcPr>
          <w:p>
            <w:pPr>
              <w:pStyle w:val="Compact"/>
            </w:pPr>
            <w:r>
              <w:t xml:space="preserve">Sections (headings)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>
            <w:tcW w:type="dxa" w:w="3502"/>
          </w:tcPr>
          <w:p>
            <w:pPr>
              <w:pStyle w:val="Compact"/>
            </w:pPr>
            <w:r>
              <w:t xml:space="preserve">50 -&gt; 63 (+13, +26%)</w:t>
            </w:r>
          </w:p>
        </w:tc>
      </w:tr>
      <w:tr>
        <w:tc>
          <w:tcPr>
            <w:tcW w:type="dxa" w:w="1658"/>
          </w:tcPr>
          <w:p>
            <w:pPr>
              <w:pStyle w:val="Compact"/>
            </w:pPr>
            <w:r>
              <w:t xml:space="preserve">Body paragraphs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>
            <w:tcW w:type="dxa" w:w="3502"/>
          </w:tcPr>
          <w:p>
            <w:pPr>
              <w:pStyle w:val="Compact"/>
            </w:pPr>
            <w:r>
              <w:t xml:space="preserve">160 -&gt; 255 (+95, +59%)</w:t>
            </w:r>
          </w:p>
        </w:tc>
      </w:tr>
      <w:tr>
        <w:tc>
          <w:tcPr>
            <w:tcW w:type="dxa" w:w="1658"/>
          </w:tcPr>
          <w:p>
            <w:pPr>
              <w:pStyle w:val="Compact"/>
            </w:pPr>
            <w:r>
              <w:t xml:space="preserve">Tables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>
            <w:tcW w:type="dxa" w:w="3502"/>
          </w:tcPr>
          <w:p>
            <w:pPr>
              <w:pStyle w:val="Compact"/>
            </w:pPr>
            <w:r>
              <w:t xml:space="preserve">7 -&gt; 24 (+17, +243%)</w:t>
            </w:r>
          </w:p>
        </w:tc>
      </w:tr>
      <w:tr>
        <w:tc>
          <w:tcPr>
            <w:tcW w:type="dxa" w:w="1658"/>
          </w:tcPr>
          <w:p>
            <w:pPr>
              <w:pStyle w:val="Compact"/>
            </w:pPr>
            <w:r>
              <w:t xml:space="preserve">Figures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W w:type="dxa" w:w="2027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W w:type="dxa" w:w="3502"/>
          </w:tcPr>
          <w:p>
            <w:pPr>
              <w:pStyle w:val="Compact"/>
            </w:pPr>
            <w:r>
              <w:t xml:space="preserve">5 (new)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TL;DR.</w:t>
      </w:r>
      <w:r>
        <w:t xml:space="preserve"> </w:t>
      </w:r>
      <w:r>
        <w:t xml:space="preserve">The revised manuscript is</w:t>
      </w:r>
      <w:r>
        <w:t xml:space="preserve"> </w:t>
      </w:r>
      <w:r>
        <w:rPr>
          <w:b/>
          <w:bCs/>
        </w:rPr>
        <w:t xml:space="preserve">2.6x</w:t>
      </w:r>
      <w:r>
        <w:t xml:space="preserve"> </w:t>
      </w:r>
      <w:r>
        <w:t xml:space="preserve">the original word count, adds</w:t>
      </w:r>
      <w:r>
        <w:t xml:space="preserve"> </w:t>
      </w:r>
      <w:r>
        <w:rPr>
          <w:b/>
          <w:bCs/>
        </w:rPr>
        <w:t xml:space="preserve">17 new tables</w:t>
      </w:r>
      <w:r>
        <w:t xml:space="preserve">,</w:t>
      </w:r>
      <w:r>
        <w:t xml:space="preserve"> </w:t>
      </w:r>
      <w:r>
        <w:rPr>
          <w:b/>
          <w:bCs/>
        </w:rPr>
        <w:t xml:space="preserve">5 new figures</w:t>
      </w:r>
      <w:r>
        <w:t xml:space="preserve">, and</w:t>
      </w:r>
      <w:r>
        <w:t xml:space="preserve"> </w:t>
      </w:r>
      <w:r>
        <w:rPr>
          <w:b/>
          <w:bCs/>
        </w:rPr>
        <w:t xml:space="preserve">13 new sections</w:t>
      </w:r>
      <w:r>
        <w:t xml:space="preserve">. This is a major rewrite, not a typo pass.</w:t>
      </w:r>
    </w:p>
    <w:bookmarkEnd w:id="9"/>
    <w:bookmarkStart w:id="10" w:name="per-section-change-list"/>
    <w:p>
      <w:pPr>
        <w:pStyle w:val="Heading2"/>
      </w:pPr>
      <w:r>
        <w:t xml:space="preserve">Per-section change list</w:t>
      </w:r>
    </w:p>
    <w:p>
      <w:pPr>
        <w:pStyle w:val="FirstParagraph"/>
      </w:pPr>
      <w:r>
        <w:rPr>
          <w:b/>
          <w:bCs/>
        </w:rPr>
        <w:t xml:space="preserve">39 sections changed: 16 NEW + 23 REVISED.</w:t>
      </w:r>
      <w:r>
        <w:t xml:space="preserve"> </w:t>
      </w:r>
      <w:r>
        <w:t xml:space="preserve">Reviewer coverage in this list: R1 in ~21 rows, R2 in ~20 rows, R3 in ~3 rows.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8"/>
        <w:gridCol w:w="2764"/>
        <w:gridCol w:w="645"/>
        <w:gridCol w:w="1105"/>
        <w:gridCol w:w="4331"/>
      </w:tblGrid>
      <w:tr>
        <w:trPr>
          <w:tblHeader w:val="on"/>
        </w:trP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Section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Triggered by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What changed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Abstract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R1.4, R2.1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Reframed synthetic results as implementation verification; tightened retrieval claims to stat-significant K (Recall@1, MRR@10 with paired-bootstrap 95% CI).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1. Introduction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R1.1, R2.1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Tightened motivation; introduced jurisdiction compliance gap terminology; clarified two-RQ scope.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2.1 AI Applications in Process Safety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R2.x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Updated literature framing for process-safety AI.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2.2 RAG in Technical and Regulatory Domains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R2.x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Revised RAG-in-regulatory-domains positioning.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2.3 Multi-Discipline Maintenance and AI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R2.x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Clarified multi-discipline asset-integrity context.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2.4 Verification Methodology — N-Version / K-Voting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R3.1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Strengthened N-version programming background relevant to K-voting rationale.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2.5 Korean PSM Regulation and KOSHA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R2.3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Sharpened Korean-jurisdiction regulatory background.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2.6 Position relative to HAZOP, RBI, Digital Twin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R2.2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subsection positioning the framework against HAZOP, RBI, and Digital Twin scope.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3. System Architecture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Named deterministic state machine and orchestrator (pipeline.py); added Figure 1.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4.1 Corpus Construction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R2.4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Corrected corpus counts to 1,327 guides + 3,102 statutory rows -&gt; 16,174 indexed entries (12 excluded for empty body).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4.2 Retrieval and Generation Pipeline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R1.1, R2.x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Formalised concept-aware query builder, synonym expansion, OR-fallback; added Figure 2.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4.3 KOSHA Regulatory Grounding — Mandatory vs Guidance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R2.3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subsection separating mandatory law-articles from KOSHA guides for citation policy.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4.4 Why standard EPC workflows do not cover these obligations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R2.3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subsection explaining the gap between EPC-standards review and KOSHA PSM coverage.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5.1 Domain Calculation Engines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Added Table 1 mapping seven engines -&gt; standards -&gt; source files.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5.2 Four-Layer Hybrid Verification Model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R1.1, R3.1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Documented Layer-4 thresholds (2% warning, 5% escalation), aligned with reverse_check.py.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5.3 Cross-Discipline Consistency Validator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Documented ten-pair coupling set; Figure 3 added.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5.4 Why three paths and a 1% tolerance? — K-voting design rationale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R3.1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subsection giving design rationale for K-voting (3 paths, 1% tolerance).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6.1 Calculation Accuracy on the Golden Dataset (implementation verification)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R1.5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Reframed 220-case headline as implementation verification, not predictive validation; added benchmark-construction subsection.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6.2 Seven-Discipline Pipeline Evaluation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R1.x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Clarified 43-scenario pipeline-eval scope vs 60-scenario ablation in §6.3.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6.3 Cross-Discipline Validator Ablation (RQ1)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Updated headline to 26/60 (+0.4333, drift-corrected); added per-failure-mode 22/3/1 partition; Figure 4 added.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6.4 KOSHA RAG Regulatory Grounding — Three Cases (RQ2)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R2.3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Each case now identifies the specific mandatory KOSHA article surfaced (Article 256 / 266 / B-M-18).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6.5 Curated Retrieval Benchmark (RQ2)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R1.4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Added paired-bootstrap 95% CI; honest disclosure that Recall@3/</w:t>
            </w:r>
            <w:r>
              <w:t xml:space="preserve">@5</w:t>
            </w:r>
            <w:r>
              <w:t xml:space="preserve"> </w:t>
            </w:r>
            <w:r>
              <w:t xml:space="preserve">CI includes zero; Figure 5 added.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6.6 Industry-Baseline Comparison and Internal Ablation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subsection: industry baseline (ASME/API pass = compliance complete) 0/3 vs 3/3, plus four-layer ablation Table 7b.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6.6.3 Real-plant pipeline-execution evidence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R1.5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Body-level summary of VES-REAL-001 anonymised cryogenic flare-drum case; Article 266 surfaced naturally.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6.7 Citation Traceability and Negative-Case Evidence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R1.5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subsection on citation-traceability precision (100% by construction) and PIP-GOLD-003 negative case.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7.1 The jurisdiction compliance gap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R1.x, R2.1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Sharpened gap definition tying calculation-only review to KOSHA PSM obligations.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7.2 Compliance co-pilot, not replacement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R2.2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subsection positioning the framework as a compliance co-pilot for HAZOP / RBI / Digital Twin / Regulatory RAG.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7.3 HAZOP scope clarification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R2.2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subsection: knowledge-based / AI-assisted, not a replacement for dynamic HAZOP.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7.4 Fitness-for-Service vs EPC standards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R2.5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subsection separating FFS workflows from EPC-standards verification scope.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7.5 Process-safety contribution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R2.x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Clarified the process-safety contribution narrative.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7.6 Reproducibility and explainability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R1.x, R2.x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subsection documenting end-to-end reproducibility (scripts/reproduce_all.py 13/13).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8. Limitations and Future Work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R1.5, R2.1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Expanded from 3 -&gt; 8 limitations including framework-vs-validated scope and benchmark-construction independence.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9. Conclusion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R1.x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Synthesised the revised contribution: integrated platform, four-layer verification, KOSHA RAG.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Acknowledgements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REVISED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blind-review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Acknowledgements reworded for strict blind-review compliance (no direct reviewer tokens in body).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Code and Data Availability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R1.x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section with AGPL-3.0 code/data release statement.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Acronyms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JLP-style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acronym glossary (JLP house style).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Key Definitions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JLP-style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key-term definitions for clarity.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Appendix A. Real-Plant Pipeline-Execution Evidence (VES-REAL-001)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R1.5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appendix: anonymised real-plant cryogenic flare-drum case with UG-27 calculation + KOSHA RAG retrieval (both probe variants).</w:t>
            </w:r>
          </w:p>
        </w:tc>
      </w:tr>
      <w:tr>
        <w:tc>
          <w:tcPr>
            <w:tcW w:type="dxa" w:w="368"/>
          </w:tcPr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>
            <w:tcW w:type="dxa" w:w="2764"/>
          </w:tcPr>
          <w:p>
            <w:pPr>
              <w:pStyle w:val="Compact"/>
            </w:pPr>
            <w:r>
              <w:t xml:space="preserve">Appendix B — Extended validation evidence</w:t>
            </w:r>
          </w:p>
        </w:tc>
        <w:tc>
          <w:tcPr>
            <w:tcW w:type="dxa" w:w="645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NEW</w:t>
            </w:r>
          </w:p>
        </w:tc>
        <w:tc>
          <w:tcPr>
            <w:tcW w:type="dxa" w:w="1105"/>
          </w:tcPr>
          <w:p>
            <w:pPr>
              <w:pStyle w:val="Compact"/>
            </w:pPr>
            <w:r>
              <w:t xml:space="preserve">R1.x, R2.x</w:t>
            </w:r>
          </w:p>
        </w:tc>
        <w:tc>
          <w:tcPr>
            <w:tcW w:type="dxa" w:w="4331"/>
          </w:tcPr>
          <w:p>
            <w:pPr>
              <w:pStyle w:val="Compact"/>
            </w:pPr>
            <w:r>
              <w:t xml:space="preserve">New appendix: per-discipline accuracy, Recall@K (K = 1..10), pipeline latency, retrieval failure inventory, full reproducibility manifest.</w:t>
            </w:r>
          </w:p>
        </w:tc>
      </w:tr>
    </w:tbl>
    <w:p>
      <w:pPr>
        <w:pStyle w:val="BodyText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RESPONSE_TO_REVIEWERS_v2.docx</w:t>
      </w:r>
      <w:r>
        <w:rPr>
          <w:i/>
          <w:iCs/>
        </w:rPr>
        <w:t xml:space="preserve"> </w:t>
      </w:r>
      <w:r>
        <w:rPr>
          <w:i/>
          <w:iCs/>
        </w:rPr>
        <w:t xml:space="preserve">for the full per-comment author response,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PAPER_JLP_REVISED_v3_MARKED.docx</w:t>
      </w:r>
      <w:r>
        <w:rPr>
          <w:i/>
          <w:iCs/>
        </w:rPr>
        <w:t xml:space="preserve"> </w:t>
      </w:r>
      <w:r>
        <w:rPr>
          <w:i/>
          <w:iCs/>
        </w:rPr>
        <w:t xml:space="preserve">for the word-level visual diff.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2026-05-18T12:28:49Z</dcterms:created>
  <dcterms:modified xsi:type="dcterms:W3CDTF">2026-05-18T12:28:49Z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