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2026-05-10</w:t>
      </w:r>
    </w:p>
    <w:p>
      <w:pPr>
        <w:pStyle w:val="BodyText"/>
      </w:pPr>
      <w:r>
        <w:rPr>
          <w:b/>
          <w:bCs/>
        </w:rPr>
        <w:t xml:space="preserve">Manuscript number:</w:t>
      </w:r>
      <w:r>
        <w:t xml:space="preserve"> </w:t>
      </w:r>
      <w:r>
        <w:t xml:space="preserve">JLP-D-26-00414 (revised)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Professor Paul Amyotte, Receiving Editor,</w:t>
      </w:r>
      <w:r>
        <w:t xml:space="preserve"> </w:t>
      </w:r>
      <w:r>
        <w:rPr>
          <w:i/>
          <w:iCs/>
        </w:rPr>
        <w:t xml:space="preserve">Journal of Loss Prevention in the Process Industries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Resubmission of</w:t>
      </w:r>
      <w:r>
        <w:t xml:space="preserve"> </w:t>
      </w:r>
      <w:r>
        <w:t xml:space="preserve">“Detecting Jurisdiction Compliance Gaps in Process Plant Engineering with Regulatory RAG”</w:t>
      </w:r>
      <w:r>
        <w:t xml:space="preserve"> </w:t>
      </w:r>
      <w:r>
        <w:t xml:space="preserve">(title preserved from initial submission)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Professor Amyotte,</w:t>
      </w:r>
    </w:p>
    <w:p>
      <w:pPr>
        <w:pStyle w:val="BodyText"/>
      </w:pPr>
      <w:r>
        <w:t xml:space="preserve">Thank you for the opportunity to revise JLP-D-26-00414. This is a substantially revised manuscript prepared directly in response to the reviewers’ concerns, while preserving the manuscript’s central research question and contribution (the</w:t>
      </w:r>
      <w:r>
        <w:t xml:space="preserve"> </w:t>
      </w:r>
      <w:r>
        <w:rPr>
          <w:i/>
          <w:iCs/>
        </w:rPr>
        <w:t xml:space="preserve">jurisdiction compliance gap</w:t>
      </w:r>
      <w:r>
        <w:t xml:space="preserve"> </w:t>
      </w:r>
      <w:r>
        <w:t xml:space="preserve">between international engineering codes and Korean PSM regulation, addressed via a multi-discipline AI verification platform with KOSHA-grounded RAG). Key changes: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Comparison axis added.</w:t>
      </w:r>
      <w:r>
        <w:t xml:space="preserve"> </w:t>
      </w:r>
      <w:r>
        <w:t xml:space="preserve">Industry baseline (</w:t>
      </w:r>
      <w:r>
        <w:t xml:space="preserve">“ASME/API pass = compliance complete”</w:t>
      </w:r>
      <w:r>
        <w:t xml:space="preserve">: 0/3) and four-layer ablation now anchor §6.6 (Tables 7, 7b).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Synthetic framing corrected, real-plant evidence promoted.</w:t>
      </w:r>
      <w:r>
        <w:t xml:space="preserve"> </w:t>
      </w:r>
      <w:r>
        <w:t xml:space="preserve">The 220-case headline is repositioned as</w:t>
      </w:r>
      <w:r>
        <w:t xml:space="preserve"> </w:t>
      </w:r>
      <w:r>
        <w:rPr>
          <w:i/>
          <w:iCs/>
        </w:rPr>
        <w:t xml:space="preserve">implementation verification, not predictive validation</w:t>
      </w:r>
      <w:r>
        <w:t xml:space="preserve">; a new §6.6.3 summarises the anonymised VES-REAL-001 cryogenic flare-drum case (Appendix A), in which a narrower Korean-term retrieval probe surfaces Article 266 (flare-path block-valve prohibition) at rank 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Claims narrowed to what survives statistical scrutiny.</w:t>
      </w:r>
      <w:r>
        <w:t xml:space="preserve"> </w:t>
      </w:r>
      <w:r>
        <w:t xml:space="preserve">Headline retrieval reduced to Recall@1 and MRR@10 (paired-bootstrap 95% CI excludes zero, n=50, 1000 resamples); Recall@3/</w:t>
      </w:r>
      <w:r>
        <w:t xml:space="preserve">@5</w:t>
      </w:r>
      <w:r>
        <w:t xml:space="preserve"> </w:t>
      </w:r>
      <w:r>
        <w:t xml:space="preserve">are disclosed as not statistically distinguishable from zero. Limitations expanded to eight items.</w:t>
      </w:r>
    </w:p>
    <w:p>
      <w:pPr>
        <w:pStyle w:val="FirstParagraph"/>
      </w:pPr>
      <w:r>
        <w:rPr>
          <w:i/>
          <w:iCs/>
        </w:rPr>
        <w:t xml:space="preserve">Editorial note 1.</w:t>
      </w:r>
      <w:r>
        <w:t xml:space="preserve"> </w:t>
      </w:r>
      <w:r>
        <w:t xml:space="preserve">One headline number was corrected during revision: the cross-discipline ablation now reports</w:t>
      </w:r>
      <w:r>
        <w:t xml:space="preserve"> </w:t>
      </w:r>
      <w:r>
        <w:rPr>
          <w:b/>
          <w:bCs/>
        </w:rPr>
        <w:t xml:space="preserve">26/60 (+0.4333)</w:t>
      </w:r>
      <w:r>
        <w:t xml:space="preserve">, not 25/60, following a duplicate-surplus correction to</w:t>
      </w:r>
      <w:r>
        <w:t xml:space="preserve"> </w:t>
      </w:r>
      <w:r>
        <w:rPr>
          <w:rStyle w:val="VerbatimChar"/>
        </w:rPr>
        <w:t xml:space="preserve">piping_golden_dataset_v1.json</w:t>
      </w:r>
      <w:r>
        <w:t xml:space="preserve"> </w:t>
      </w:r>
      <w:r>
        <w:t xml:space="preserve">flagged during the reproducibility audit. The correction strengthens, not weakens, the evidence.</w:t>
      </w:r>
    </w:p>
    <w:p>
      <w:pPr>
        <w:pStyle w:val="BodyText"/>
      </w:pPr>
      <w:r>
        <w:rPr>
          <w:i/>
          <w:iCs/>
        </w:rPr>
        <w:t xml:space="preserve">Editorial note 2.</w:t>
      </w:r>
      <w:r>
        <w:t xml:space="preserve"> </w:t>
      </w:r>
      <w:r>
        <w:t xml:space="preserve">The revision is extensive — word count grew from 4,928 to 12,937 (+163%); at section level,</w:t>
      </w:r>
      <w:r>
        <w:t xml:space="preserve"> </w:t>
      </w:r>
      <w:r>
        <w:rPr>
          <w:b/>
          <w:bCs/>
        </w:rPr>
        <w:t xml:space="preserve">16 new sections</w:t>
      </w:r>
      <w:r>
        <w:t xml:space="preserve"> </w:t>
      </w:r>
      <w:r>
        <w:t xml:space="preserve">(incl. §6.6, §6.7, §7.2-7.4, §7.6, Appendix A, Appendix B) and</w:t>
      </w:r>
      <w:r>
        <w:t xml:space="preserve"> </w:t>
      </w:r>
      <w:r>
        <w:rPr>
          <w:b/>
          <w:bCs/>
        </w:rPr>
        <w:t xml:space="preserve">23 rewritten sections</w:t>
      </w:r>
      <w:r>
        <w:t xml:space="preserve"> </w:t>
      </w:r>
      <w:r>
        <w:t xml:space="preserve">were marked, totalling</w:t>
      </w:r>
      <w:r>
        <w:t xml:space="preserve"> </w:t>
      </w:r>
      <w:r>
        <w:rPr>
          <w:b/>
          <w:bCs/>
        </w:rPr>
        <w:t xml:space="preserve">39 section-level changes</w:t>
      </w:r>
      <w:r>
        <w:t xml:space="preserve"> </w:t>
      </w:r>
      <w:r>
        <w:t xml:space="preserve">(per</w:t>
      </w:r>
      <w:r>
        <w:t xml:space="preserve"> </w:t>
      </w:r>
      <w:r>
        <w:rPr>
          <w:rStyle w:val="VerbatimChar"/>
        </w:rPr>
        <w:t xml:space="preserve">CHANGE_SUMMARY_TABLE.docx</w:t>
      </w:r>
      <w:r>
        <w:t xml:space="preserve">); these expand to</w:t>
      </w:r>
      <w:r>
        <w:t xml:space="preserve"> </w:t>
      </w:r>
      <w:r>
        <w:rPr>
          <w:b/>
          <w:bCs/>
        </w:rPr>
        <w:t xml:space="preserve">72 sub-heading-level rows</w:t>
      </w:r>
      <w:r>
        <w:t xml:space="preserve"> </w:t>
      </w:r>
      <w:r>
        <w:t xml:space="preserve">when sub-headings within Appendix A and B are counted separately and the removed/folded original sub-sections are listed (per</w:t>
      </w:r>
      <w:r>
        <w:t xml:space="preserve"> </w:t>
      </w:r>
      <w:r>
        <w:rPr>
          <w:rStyle w:val="VerbatimChar"/>
        </w:rPr>
        <w:t xml:space="preserve">BEFORE_AFTER_COMPARISON.docx</w:t>
      </w:r>
      <w:r>
        <w:t xml:space="preserve">). We therefore provide a word-level marked manuscript together with two navigation aids.</w:t>
      </w:r>
      <w:r>
        <w:t xml:space="preserve"> </w:t>
      </w:r>
      <w:r>
        <w:rPr>
          <w:b/>
          <w:bCs/>
        </w:rPr>
        <w:t xml:space="preserve">PAPER_JLP_REVISED_v3_MARKED.docx</w:t>
      </w:r>
      <w:r>
        <w:t xml:space="preserve"> </w:t>
      </w:r>
      <w:r>
        <w:t xml:space="preserve">shows textual changes directly in the manuscript using native Word track-changes (</w:t>
      </w:r>
      <w:r>
        <w:rPr>
          <w:rStyle w:val="VerbatimChar"/>
        </w:rPr>
        <w:t xml:space="preserve">&lt;w:ins&gt;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&lt;w:del&gt;</w:t>
      </w:r>
      <w:r>
        <w:t xml:space="preserve"> </w:t>
      </w:r>
      <w:r>
        <w:t xml:space="preserve">with author/date attribution).</w:t>
      </w:r>
      <w:r>
        <w:t xml:space="preserve"> </w:t>
      </w:r>
      <w:r>
        <w:rPr>
          <w:b/>
          <w:bCs/>
        </w:rPr>
        <w:t xml:space="preserve">BEFORE_AFTER_COMPARISON.docx</w:t>
      </w:r>
      <w:r>
        <w:t xml:space="preserve"> </w:t>
      </w:r>
      <w:r>
        <w:t xml:space="preserve">(landscape, sub-heading-level side-by-side) and</w:t>
      </w:r>
      <w:r>
        <w:t xml:space="preserve"> </w:t>
      </w:r>
      <w:r>
        <w:rPr>
          <w:b/>
          <w:bCs/>
        </w:rPr>
        <w:t xml:space="preserve">CHANGE_SUMMARY_TABLE.docx</w:t>
      </w:r>
      <w:r>
        <w:t xml:space="preserve"> </w:t>
      </w:r>
      <w:r>
        <w:t xml:space="preserve">(section-level reviewer-comment mapping) are navigation aids only. The per-comment author response is in</w:t>
      </w:r>
      <w:r>
        <w:t xml:space="preserve"> </w:t>
      </w:r>
      <w:r>
        <w:rPr>
          <w:b/>
          <w:bCs/>
        </w:rPr>
        <w:t xml:space="preserve">RESPONSE_TO_REVIEWERS_v2.docx</w:t>
      </w:r>
      <w:r>
        <w:t xml:space="preserve">, and the clean revised manuscript is</w:t>
      </w:r>
      <w:r>
        <w:t xml:space="preserve"> </w:t>
      </w:r>
      <w:r>
        <w:rPr>
          <w:b/>
          <w:bCs/>
        </w:rPr>
        <w:t xml:space="preserve">PAPER_JLP_REVISED_v3.docx</w:t>
      </w:r>
      <w:r>
        <w:t xml:space="preserve">.</w:t>
      </w:r>
    </w:p>
    <w:p>
      <w:pPr>
        <w:pStyle w:val="BodyText"/>
      </w:pPr>
      <w:r>
        <w:t xml:space="preserve">The revision is reproducible via</w:t>
      </w:r>
      <w:r>
        <w:t xml:space="preserve"> </w:t>
      </w:r>
      <w:r>
        <w:rPr>
          <w:rStyle w:val="VerbatimChar"/>
        </w:rPr>
        <w:t xml:space="preserve">scripts/reproduce_all.py</w:t>
      </w:r>
      <w:r>
        <w:t xml:space="preserve"> </w:t>
      </w:r>
      <w:r>
        <w:t xml:space="preserve">(13/13 pass); code, data, and the FTS5 index manifest are released under AGPL-3.0. The manuscript is exclusive to</w:t>
      </w:r>
      <w:r>
        <w:t xml:space="preserve"> </w:t>
      </w:r>
      <w:r>
        <w:rPr>
          <w:i/>
          <w:iCs/>
        </w:rPr>
        <w:t xml:space="preserve">JLP</w:t>
      </w:r>
      <w:r>
        <w:t xml:space="preserve"> </w:t>
      </w:r>
      <w:r>
        <w:t xml:space="preserve">and we declare no conflicts of interest.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/>
          <w:bCs/>
        </w:rPr>
        <w:t xml:space="preserve">Yuyong Kim</w:t>
      </w:r>
      <w:r>
        <w:t xml:space="preserve"> </w:t>
      </w:r>
      <w:r>
        <w:t xml:space="preserve">University of Wisconsin–Madison</w:t>
      </w:r>
      <w:r>
        <w:t xml:space="preserve"> </w:t>
      </w:r>
      <w:r>
        <w:t xml:space="preserve">M.S. Data, Insights &amp; Analytics; B.S. Chemical &amp; Biological Engineering; 12+ yr petrochemical EPC.</w:t>
      </w:r>
      <w:r>
        <w:t xml:space="preserve"> </w:t>
      </w:r>
      <w:hyperlink r:id="rId9">
        <w:r>
          <w:rPr>
            <w:rStyle w:val="Hyperlink"/>
          </w:rPr>
          <w:t xml:space="preserve">linkedin.com/in/yuyongkim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linkedin.com/in/yuyongki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linkedin.com/in/yuyongki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2026-05-18T12:28:42Z</dcterms:created>
  <dcterms:modified xsi:type="dcterms:W3CDTF">2026-05-18T12:28:42Z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