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12db9d99a5ba7d4a6ed195b593e01dda56b732f"/>
    <w:p>
      <w:pPr>
        <w:pStyle w:val="Heading1"/>
      </w:pPr>
      <w:r>
        <w:t xml:space="preserve">Detecting Jurisdiction Compliance Gaps in Process Plant Engineering with Regulatory RAG</w:t>
      </w:r>
    </w:p>
    <w:p>
      <w:pPr>
        <w:pStyle w:val="FirstParagraph"/>
      </w:pPr>
      <w:r>
        <w:rPr>
          <w:b/>
          <w:bCs/>
        </w:rPr>
        <w:t xml:space="preserve">Yuyong Kim</w:t>
      </w:r>
    </w:p>
    <w:p>
      <w:pPr>
        <w:pStyle w:val="BodyText"/>
      </w:pPr>
      <w:r>
        <w:rPr>
          <w:i/>
          <w:iCs/>
        </w:rPr>
        <w:t xml:space="preserve">University of Wisconsin–Madison, Madison, WI 53706, USA</w:t>
      </w:r>
      <w:r>
        <w:t xml:space="preserve"> </w:t>
      </w:r>
      <w:r>
        <w:rPr>
          <w:i/>
          <w:iCs/>
        </w:rPr>
        <w:t xml:space="preserve">M.S. Data, Insights &amp; Analytics; B.S. Chemical &amp; Biological Engineering</w:t>
      </w:r>
    </w:p>
    <w:p>
      <w:r>
        <w:pict>
          <v:rect style="width:0;height:1.5pt" o:hralign="center" o:hrstd="t" o:hr="t"/>
        </w:pict>
      </w:r>
    </w:p>
    <w:bookmarkStart w:id="9" w:name="highlights"/>
    <w:p>
      <w:pPr>
        <w:pStyle w:val="Heading2"/>
      </w:pPr>
      <w:r>
        <w:t xml:space="preserve">Highlights</w:t>
      </w:r>
    </w:p>
    <w:p>
      <w:pPr>
        <w:pStyle w:val="Compact"/>
        <w:numPr>
          <w:ilvl w:val="0"/>
          <w:numId w:val="1001"/>
        </w:numPr>
      </w:pPr>
      <w:r>
        <w:t xml:space="preserve">We define the jurisdiction compliance gap between international engineering codes and national safety regulations.</w:t>
      </w:r>
    </w:p>
    <w:p>
      <w:pPr>
        <w:pStyle w:val="Compact"/>
        <w:numPr>
          <w:ilvl w:val="0"/>
          <w:numId w:val="1001"/>
        </w:numPr>
      </w:pPr>
      <w:r>
        <w:t xml:space="preserve">A KOSHA-grounded regulatory RAG layer identifies Korean-jurisdiction obligations missed by code-only calculations.</w:t>
      </w:r>
    </w:p>
    <w:p>
      <w:pPr>
        <w:pStyle w:val="Compact"/>
        <w:numPr>
          <w:ilvl w:val="0"/>
          <w:numId w:val="1001"/>
        </w:numPr>
      </w:pPr>
      <w:r>
        <w:t xml:space="preserve">Cross-discipline validation blocks</w:t>
      </w:r>
      <w:r>
        <w:t xml:space="preserve"> </w:t>
      </w:r>
      <w:r>
        <w:rPr>
          <w:b/>
          <w:bCs/>
        </w:rPr>
        <w:t xml:space="preserve">25 additional hazard scenarios in 60 test cases</w:t>
      </w:r>
      <w:r>
        <w:t xml:space="preserve"> </w:t>
      </w:r>
      <w:r>
        <w:t xml:space="preserve">beyond single-domain checks.</w:t>
      </w:r>
    </w:p>
    <w:p>
      <w:pPr>
        <w:pStyle w:val="Compact"/>
        <w:numPr>
          <w:ilvl w:val="0"/>
          <w:numId w:val="1001"/>
        </w:numPr>
      </w:pPr>
      <w:r>
        <w:t xml:space="preserve">A four-layer verification model shows implementation-correct performance across</w:t>
      </w:r>
      <w:r>
        <w:t xml:space="preserve"> </w:t>
      </w:r>
      <w:r>
        <w:rPr>
          <w:b/>
          <w:bCs/>
        </w:rPr>
        <w:t xml:space="preserve">220 synthetic golden cases</w:t>
      </w:r>
      <w:r>
        <w:t xml:space="preserve"> </w:t>
      </w:r>
      <w:r>
        <w:t xml:space="preserve">in seven disciplines.</w:t>
      </w:r>
    </w:p>
    <w:p>
      <w:pPr>
        <w:pStyle w:val="Compact"/>
        <w:numPr>
          <w:ilvl w:val="0"/>
          <w:numId w:val="1001"/>
        </w:numPr>
      </w:pPr>
      <w:r>
        <w:t xml:space="preserve">Concept-aware synonym expansion improves</w:t>
      </w:r>
      <w:r>
        <w:t xml:space="preserve"> </w:t>
      </w:r>
      <w:r>
        <w:rPr>
          <w:b/>
          <w:bCs/>
        </w:rPr>
        <w:t xml:space="preserve">Recall@1 from 0.44 to 0.74 and MRR@10 from 0.57 to 0.79</w:t>
      </w:r>
      <w:r>
        <w:t xml:space="preserve"> </w:t>
      </w:r>
      <w:r>
        <w:t xml:space="preserve">on a curated Korean regulatory benchmark.</w:t>
      </w:r>
    </w:p>
    <w:p>
      <w:r>
        <w:pict>
          <v:rect style="width:0;height:1.5pt" o:hralign="center" o:hrstd="t" o:hr="t"/>
        </w:pict>
      </w:r>
    </w:p>
    <w:bookmarkEnd w:id="9"/>
    <w:bookmarkStart w:id="10" w:name="abstract"/>
    <w:p>
      <w:pPr>
        <w:pStyle w:val="Heading2"/>
      </w:pPr>
      <w:r>
        <w:t xml:space="preserve">Abstract</w:t>
      </w:r>
    </w:p>
    <w:p>
      <w:pPr>
        <w:pStyle w:val="FirstParagraph"/>
      </w:pPr>
      <w:r>
        <w:t xml:space="preserve">Engineering calculations in process plants must satisfy both international codes (ASME, API, IEEE, IEC) and national safety regulations. When these two layers are misaligned, code-compliant engineering packages can leave latent accident pathways unaddressed — a condition we term the</w:t>
      </w:r>
      <w:r>
        <w:t xml:space="preserve"> </w:t>
      </w:r>
      <w:r>
        <w:rPr>
          <w:b/>
          <w:bCs/>
        </w:rPr>
        <w:t xml:space="preserve">jurisdiction compliance gap</w:t>
      </w:r>
      <w:r>
        <w:t xml:space="preserve">. In Korean process plants, the KOSHA PSM framework imposes documentation, review triggers, and corrosion-prevention controls that international code calculations do not encode; overlooking these obligations can delay hazard identification until regulatory audit or, worse, until an incident occurs. This study proposes a proof-of-feasibility verification layer — not a replacement for detailed engineering design — that screens for such gaps. The system combines seven domain calculation engines, a four-layer hybrid verification model with K-voting consensus, a cross-discipline coupling validator, and a regulatory RAG layer indexing 1,327 KOSHA guides and 3,102 statutory provisions. On 220 curated synthetic golden cases, the deterministic engines confirm implementation correctness. A 60-scenario ablation shows that cross-discipline coupling validation blocks 25 additional hazard scenarios that single-domain calculations miss. A 50-query bilingual retrieval benchmark improves Recall@1 from 0.44 to 0.74. Three case studies illustrate jurisdiction compliance gaps where ASME/API calculations pass cleanly while the RAG layer surfaces mandatory Korean requirements, including Article 256 corrosion-prevention obligations (</w:t>
      </w:r>
      <w:r>
        <w:rPr>
          <w:rStyle w:val="VerbatimChar"/>
        </w:rPr>
        <w:t xml:space="preserve">산업안전보건기준에 관한 규칙</w:t>
      </w:r>
      <w:r>
        <w:t xml:space="preserve">). The concept likely applies wherever national regulations augment international codes.</w:t>
      </w:r>
    </w:p>
    <w:p>
      <w:pPr>
        <w:pStyle w:val="BodyText"/>
      </w:pPr>
      <w:r>
        <w:rPr>
          <w:b/>
          <w:bCs/>
        </w:rPr>
        <w:t xml:space="preserve">Keywords:</w:t>
      </w:r>
      <w:r>
        <w:t xml:space="preserve"> </w:t>
      </w:r>
      <w:r>
        <w:t xml:space="preserve">jurisdiction compliance gap; process safety management; regulatory RAG; KOSHA; loss prevention; multi-discipline verification; K-voting consensus</w:t>
      </w:r>
    </w:p>
    <w:p>
      <w:r>
        <w:pict>
          <v:rect style="width:0;height:1.5pt" o:hralign="center" o:hrstd="t" o:hr="t"/>
        </w:pict>
      </w:r>
    </w:p>
    <w:bookmarkEnd w:id="10"/>
    <w:bookmarkStart w:id="14" w:name="introduction"/>
    <w:p>
      <w:pPr>
        <w:pStyle w:val="Heading2"/>
      </w:pPr>
      <w:r>
        <w:t xml:space="preserve">1. Introduction</w:t>
      </w:r>
    </w:p>
    <w:bookmarkStart w:id="11" w:name="Xe2bf70ac2e98369a4afbf0c3aafefac3991bb29"/>
    <w:p>
      <w:pPr>
        <w:pStyle w:val="Heading3"/>
      </w:pPr>
      <w:r>
        <w:t xml:space="preserve">1.1. Motivation: when code compliance is not enough</w:t>
      </w:r>
    </w:p>
    <w:p>
      <w:pPr>
        <w:pStyle w:val="FirstParagraph"/>
      </w:pPr>
      <w:r>
        <w:t xml:space="preserve">A pressure vessel that satisfies every ASME Section VIII requirement may still violate Korean law. An API 570-compliant piping inspection program may omit mandatory review triggers defined by the Korea Occupational Safety and Health Agency (KOSHA). This is not a hypothetical risk: we hypothesise that this is a structural property of how international engineering codes and national safety regulations interact.</w:t>
      </w:r>
    </w:p>
    <w:p>
      <w:pPr>
        <w:pStyle w:val="BodyText"/>
      </w:pPr>
      <w:r>
        <w:t xml:space="preserve">International codes such as ASME, API, IEEE, and IEC define the technical basis for engineering calculations—minimum wall thickness, allowable stress, arc-flash energy, safety integrity level. These calculations are necessary for safe design and operation. However, they are not sufficient for legal compliance in jurisdictions that layer additional safety regulations on top of international codes. In Korea, the Occupational Safety and Health Act and its implementing regulations—including KOSHA technical guidelines and the Rules on Occupational Safety and Health Standards—impose procedural, documentation, and compliance obligations that are conditioned on calculation outputs but encoded outside the international standards.</w:t>
      </w:r>
    </w:p>
    <w:p>
      <w:pPr>
        <w:pStyle w:val="BodyText"/>
      </w:pPr>
      <w:r>
        <w:t xml:space="preserve">We call this structural mismatch a</w:t>
      </w:r>
      <w:r>
        <w:t xml:space="preserve"> </w:t>
      </w:r>
      <w:r>
        <w:rPr>
          <w:b/>
          <w:bCs/>
        </w:rPr>
        <w:t xml:space="preserve">jurisdiction compliance gap</w:t>
      </w:r>
      <w:r>
        <w:t xml:space="preserve">: the set of regulatory obligations imposed by national statute or agency guideline that are structurally absent from international engineering code calculations, such that a system may be technically code-compliant while remaining legally non-compliant under the applicable local jurisdiction.</w:t>
      </w:r>
    </w:p>
    <w:p>
      <w:pPr>
        <w:pStyle w:val="BodyText"/>
      </w:pPr>
      <w:r>
        <w:t xml:space="preserve">From a loss-prevention perspective, the consequence of this gap is that code-compliant but jurisdictionally incomplete engineering packages can leave latent accident pathways unaddressed — for example, unmonitored corrosion progression in high-temperature piping, or missed mandatory risk-based inspection triggers — before startup or during the operational inspection cycle. Detecting these gaps at the calculation stage, rather than at regulatory audit or after an incident, strengthens the process safety barrier chain.</w:t>
      </w:r>
    </w:p>
    <w:p>
      <w:pPr>
        <w:pStyle w:val="BodyText"/>
      </w:pPr>
      <w:r>
        <w:t xml:space="preserve">This paper addresses two questions:</w:t>
      </w:r>
    </w:p>
    <w:p>
      <w:pPr>
        <w:pStyle w:val="Compact"/>
        <w:numPr>
          <w:ilvl w:val="0"/>
          <w:numId w:val="1002"/>
        </w:numPr>
      </w:pPr>
      <w:r>
        <w:rPr>
          <w:b/>
          <w:bCs/>
        </w:rPr>
        <w:t xml:space="preserve">RQ1.</w:t>
      </w:r>
      <w:r>
        <w:t xml:space="preserve"> </w:t>
      </w:r>
      <w:r>
        <w:t xml:space="preserve">Can automated cross-discipline verification detect coupling hazards that single-domain calculations miss?</w:t>
      </w:r>
    </w:p>
    <w:p>
      <w:pPr>
        <w:pStyle w:val="Compact"/>
        <w:numPr>
          <w:ilvl w:val="0"/>
          <w:numId w:val="1002"/>
        </w:numPr>
      </w:pPr>
      <w:r>
        <w:rPr>
          <w:b/>
          <w:bCs/>
        </w:rPr>
        <w:t xml:space="preserve">RQ2.</w:t>
      </w:r>
      <w:r>
        <w:t xml:space="preserve"> </w:t>
      </w:r>
      <w:r>
        <w:t xml:space="preserve">Can a regulatory RAG layer identify jurisdiction-specific compliance requirements that international code calculations structurally omit?</w:t>
      </w:r>
    </w:p>
    <w:bookmarkEnd w:id="11"/>
    <w:bookmarkStart w:id="12" w:name="scope-and-contributions"/>
    <w:p>
      <w:pPr>
        <w:pStyle w:val="Heading3"/>
      </w:pPr>
      <w:r>
        <w:t xml:space="preserve">1.2. Scope and contributions</w:t>
      </w:r>
    </w:p>
    <w:p>
      <w:pPr>
        <w:pStyle w:val="FirstParagraph"/>
      </w:pPr>
      <w:r>
        <w:t xml:space="preserve">We present an expert verification system for seven process plant engineering disciplines. Importantly, this study does not aim to reproduce full project-specific detailed design outcomes from confidential plant packages. Instead, it proposes a verification layer that detects jurisdiction-specific regulatory omissions and cross-discipline hazards that may be overlooked in conventional code-centric engineering workflows. Detailed engineering data in Korean EPC projects are typically confidential and not publicly shareable; accordingly, the evaluation uses curated synthetic golden cases, retrieval benchmarks, and scenario-based hazard screening under controlled conditions.</w:t>
      </w:r>
    </w:p>
    <w:p>
      <w:pPr>
        <w:pStyle w:val="BodyText"/>
      </w:pPr>
      <w:r>
        <w:t xml:space="preserve">The four contributions are:</w:t>
      </w:r>
    </w:p>
    <w:p>
      <w:pPr>
        <w:numPr>
          <w:ilvl w:val="0"/>
          <w:numId w:val="1003"/>
        </w:numPr>
      </w:pPr>
      <w:r>
        <w:rPr>
          <w:b/>
          <w:bCs/>
        </w:rPr>
        <w:t xml:space="preserve">Jurisdiction compliance gap concept.</w:t>
      </w:r>
      <w:r>
        <w:t xml:space="preserve"> </w:t>
      </w:r>
      <w:r>
        <w:t xml:space="preserve">We define, operationalise, and illustrate this concept with three case studies spanning pressure vessels and piping in Korean jurisdiction.</w:t>
      </w:r>
    </w:p>
    <w:p>
      <w:pPr>
        <w:numPr>
          <w:ilvl w:val="0"/>
          <w:numId w:val="1003"/>
        </w:numPr>
      </w:pPr>
      <w:r>
        <w:rPr>
          <w:b/>
          <w:bCs/>
        </w:rPr>
        <w:t xml:space="preserve">Regulatory RAG for KOSHA integration.</w:t>
      </w:r>
      <w:r>
        <w:t xml:space="preserve"> </w:t>
      </w:r>
      <w:r>
        <w:t xml:space="preserve">To our knowledge, we construct the first regulatory corpus from KOSHA public APIs (16,186 indexed rows from 1,327 guides and 3,102 statutory provisions) and show its feasibility for detecting jurisdiction-specific obligations invisible to code calculations.</w:t>
      </w:r>
    </w:p>
    <w:p>
      <w:pPr>
        <w:numPr>
          <w:ilvl w:val="0"/>
          <w:numId w:val="1003"/>
        </w:numPr>
      </w:pPr>
      <w:r>
        <w:rPr>
          <w:b/>
          <w:bCs/>
        </w:rPr>
        <w:t xml:space="preserve">Four-layer hybrid verification model.</w:t>
      </w:r>
      <w:r>
        <w:t xml:space="preserve"> </w:t>
      </w:r>
      <w:r>
        <w:t xml:space="preserve">Input validation, K-voting consensus (three parallel calculation paths with ≤1% deviation tolerance), physics/code compliance, and reverse verification—applied to seven engineering disciplines.</w:t>
      </w:r>
    </w:p>
    <w:p>
      <w:pPr>
        <w:numPr>
          <w:ilvl w:val="0"/>
          <w:numId w:val="1003"/>
        </w:numPr>
      </w:pPr>
      <w:r>
        <w:rPr>
          <w:b/>
          <w:bCs/>
        </w:rPr>
        <w:t xml:space="preserve">Cross-discipline coupling detection.</w:t>
      </w:r>
      <w:r>
        <w:t xml:space="preserve"> </w:t>
      </w:r>
      <w:r>
        <w:t xml:space="preserve">Automatic hazard identification across ten predefined domain pairs, with quantified incremental value via ablation.</w:t>
      </w:r>
    </w:p>
    <w:bookmarkEnd w:id="12"/>
    <w:bookmarkStart w:id="13" w:name="paper-organisation"/>
    <w:p>
      <w:pPr>
        <w:pStyle w:val="Heading3"/>
      </w:pPr>
      <w:r>
        <w:t xml:space="preserve">1.3. Paper organisation</w:t>
      </w:r>
    </w:p>
    <w:p>
      <w:pPr>
        <w:pStyle w:val="FirstParagraph"/>
      </w:pPr>
      <w:r>
        <w:t xml:space="preserve">Section 2 positions this work against related literature. Section 3 defines the jurisdiction compliance gap formally. Section 4 describes system architecture. Section 5 details the KOSHA RAG layer. Section 6 presents the verification model. Section 7 reports experiments. Section 8 discusses findings. Section 9 addresses limitations. Section 10 concludes.</w:t>
      </w:r>
    </w:p>
    <w:p>
      <w:r>
        <w:pict>
          <v:rect style="width:0;height:1.5pt" o:hralign="center" o:hrstd="t" o:hr="t"/>
        </w:pict>
      </w:r>
    </w:p>
    <w:bookmarkEnd w:id="13"/>
    <w:bookmarkEnd w:id="14"/>
    <w:bookmarkStart w:id="20" w:name="related-work"/>
    <w:p>
      <w:pPr>
        <w:pStyle w:val="Heading2"/>
      </w:pPr>
      <w:r>
        <w:t xml:space="preserve">2. Related Work</w:t>
      </w:r>
    </w:p>
    <w:bookmarkStart w:id="15" w:name="X99ceba6b69099c5494c22526c533aac356f1e2f"/>
    <w:p>
      <w:pPr>
        <w:pStyle w:val="Heading3"/>
      </w:pPr>
      <w:r>
        <w:t xml:space="preserve">2.1. Expert systems for engineering verification</w:t>
      </w:r>
    </w:p>
    <w:p>
      <w:pPr>
        <w:pStyle w:val="FirstParagraph"/>
      </w:pPr>
      <w:r>
        <w:t xml:space="preserve">Expert systems have a long history in engineering domains, from early rule-based diagnostic systems to modern AI-assisted design tools. In process safety, Selvam et al. (2026) review AI applications across hazard detection and risk assessment, reporting 30–60% accuracy gains while noting regulatory uncertainty as a primary limitation. Woo et al. (2025) survey LLM applications in process systems engineering but do not address multi-discipline verification or regulatory corpus integration. Elhosary et al. (2024) propose an LLM-assisted HAZOP system using RAG, limited to single-process scope. None of these works address the systematic detection of jurisdiction compliance gaps.</w:t>
      </w:r>
    </w:p>
    <w:bookmarkEnd w:id="15"/>
    <w:bookmarkStart w:id="16" w:name="X93c482f169357ba68693ba8a245863365bb79c1"/>
    <w:p>
      <w:pPr>
        <w:pStyle w:val="Heading3"/>
      </w:pPr>
      <w:r>
        <w:t xml:space="preserve">2.2. Retrieval-augmented generation for regulatory domains</w:t>
      </w:r>
    </w:p>
    <w:p>
      <w:pPr>
        <w:pStyle w:val="FirstParagraph"/>
      </w:pPr>
      <w:r>
        <w:t xml:space="preserve">The RAG paradigm (Lewis et al., 2020; Gao et al., 2024) augments language models with retrieved evidence. Walker et al. (2026) apply safety-document RAG to offshore wind maintenance, the closest structural analogue to our work, but without cross-jurisdiction regulatory analysis. Klesel and Wittmann (2025) identify regulatory RAG as an open direction. The present work instantiates this direction with a concrete corpus construction and evaluation methodology for Korean industrial safety regulations.</w:t>
      </w:r>
    </w:p>
    <w:bookmarkEnd w:id="16"/>
    <w:bookmarkStart w:id="17" w:name="multi-discipline-asset-integrity"/>
    <w:p>
      <w:pPr>
        <w:pStyle w:val="Heading3"/>
      </w:pPr>
      <w:r>
        <w:t xml:space="preserve">2.3. Multi-discipline asset integrity</w:t>
      </w:r>
    </w:p>
    <w:p>
      <w:pPr>
        <w:pStyle w:val="FirstParagraph"/>
      </w:pPr>
      <w:r>
        <w:t xml:space="preserve">AI-based asset integrity frameworks (Jones et al., 2025) typically address single-asset or single-discipline scope. Predictive maintenance surveys (Hector and Panjanathan, 2024; Ait-Alla et al., 2022) cover sensor-driven monitoring without standards-based calculation verification or regulatory RAG.</w:t>
      </w:r>
    </w:p>
    <w:bookmarkEnd w:id="17"/>
    <w:bookmarkStart w:id="18" w:name="X342903c272c81b19fd5a148f2fd7127471696c2"/>
    <w:p>
      <w:pPr>
        <w:pStyle w:val="Heading3"/>
      </w:pPr>
      <w:r>
        <w:t xml:space="preserve">2.4. N-version programming and consensus verification</w:t>
      </w:r>
    </w:p>
    <w:p>
      <w:pPr>
        <w:pStyle w:val="FirstParagraph"/>
      </w:pPr>
      <w:r>
        <w:t xml:space="preserve">Avizienis (1985) established the theoretical basis for N-version programming. Our K-voting consensus layer adapts this principle to engineering calculation verification—three independently varied calculation paths must agree within 1% relative deviation. To our knowledge, this application is novel in plant engineering.</w:t>
      </w:r>
    </w:p>
    <w:bookmarkEnd w:id="18"/>
    <w:bookmarkStart w:id="19" w:name="korean-psm-and-kosha-in-ai"/>
    <w:p>
      <w:pPr>
        <w:pStyle w:val="Heading3"/>
      </w:pPr>
      <w:r>
        <w:t xml:space="preserve">2.5. Korean PSM and KOSHA in AI</w:t>
      </w:r>
    </w:p>
    <w:p>
      <w:pPr>
        <w:pStyle w:val="FirstParagraph"/>
      </w:pPr>
      <w:r>
        <w:t xml:space="preserve">Kim et al. (2022) apply text mining to KOSHA accident reports for classification. Lee and Ahn (2025) fine-tune an LLM on KOSHA construction safety guidelines for Q&amp;A. Neither integrates KOSHA data into an engineering calculation verification layer. No prior work has reported automated detection of jurisdiction compliance gaps between international codes and Korean PSM regulations.</w:t>
      </w:r>
    </w:p>
    <w:p>
      <w:r>
        <w:pict>
          <v:rect style="width:0;height:1.5pt" o:hralign="center" o:hrstd="t" o:hr="t"/>
        </w:pict>
      </w:r>
    </w:p>
    <w:bookmarkEnd w:id="19"/>
    <w:bookmarkEnd w:id="20"/>
    <w:bookmarkStart w:id="24" w:name="the-jurisdiction-compliance-gap"/>
    <w:p>
      <w:pPr>
        <w:pStyle w:val="Heading2"/>
      </w:pPr>
      <w:r>
        <w:t xml:space="preserve">3. The Jurisdiction Compliance Gap</w:t>
      </w:r>
    </w:p>
    <w:bookmarkStart w:id="21" w:name="definition"/>
    <w:p>
      <w:pPr>
        <w:pStyle w:val="Heading3"/>
      </w:pPr>
      <w:r>
        <w:t xml:space="preserve">3.1. Definition</w:t>
      </w:r>
    </w:p>
    <w:p>
      <w:pPr>
        <w:pStyle w:val="FirstParagraph"/>
      </w:pPr>
      <w:r>
        <w:rPr>
          <w:b/>
          <w:bCs/>
        </w:rPr>
        <w:t xml:space="preserve">Jurisdiction compliance gap.</w:t>
      </w:r>
      <w:r>
        <w:t xml:space="preserve"> </w:t>
      </w:r>
      <w:r>
        <w:t xml:space="preserve">The set of regulatory obligations imposed by national statute or agency guideline that are structurally absent from international engineering code calculations, such that a system may be technically code-compliant while remaining legally non-compliant under the applicable local jurisdiction.</w:t>
      </w:r>
    </w:p>
    <w:bookmarkEnd w:id="21"/>
    <w:bookmarkStart w:id="22" w:name="structural-origin"/>
    <w:p>
      <w:pPr>
        <w:pStyle w:val="Heading3"/>
      </w:pPr>
      <w:r>
        <w:t xml:space="preserve">3.2. Structural origin</w:t>
      </w:r>
    </w:p>
    <w:p>
      <w:pPr>
        <w:pStyle w:val="FirstParagraph"/>
      </w:pPr>
      <w:r>
        <w:t xml:space="preserve">International engineering codes define</w:t>
      </w:r>
      <w:r>
        <w:t xml:space="preserve"> </w:t>
      </w:r>
      <w:r>
        <w:rPr>
          <w:i/>
          <w:iCs/>
        </w:rPr>
        <w:t xml:space="preserve">what to calculate</w:t>
      </w:r>
      <w:r>
        <w:t xml:space="preserve"> </w:t>
      </w:r>
      <w:r>
        <w:t xml:space="preserve">and</w:t>
      </w:r>
      <w:r>
        <w:t xml:space="preserve"> </w:t>
      </w:r>
      <w:r>
        <w:rPr>
          <w:i/>
          <w:iCs/>
        </w:rPr>
        <w:t xml:space="preserve">what thresholds to apply</w:t>
      </w:r>
      <w:r>
        <w:t xml:space="preserve">. National safety regulations define</w:t>
      </w:r>
      <w:r>
        <w:t xml:space="preserve"> </w:t>
      </w:r>
      <w:r>
        <w:rPr>
          <w:i/>
          <w:iCs/>
        </w:rPr>
        <w:t xml:space="preserve">what to do about the results</w:t>
      </w:r>
      <w:r>
        <w:t xml:space="preserve">—documentation requirements, mandatory review triggers, additional control measures. These two regulatory layers address different questions: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Question Answered</w:t>
            </w:r>
          </w:p>
        </w:tc>
        <w:tc>
          <w:tcPr/>
          <w:p>
            <w:pPr>
              <w:pStyle w:val="Compact"/>
            </w:pPr>
            <w:r>
              <w:t xml:space="preserve">Example</w:t>
            </w:r>
          </w:p>
        </w:tc>
      </w:tr>
      <w:tr>
        <w:tc>
          <w:tcPr/>
          <w:p>
            <w:pPr>
              <w:pStyle w:val="Compact"/>
            </w:pPr>
            <w:r>
              <w:t xml:space="preserve">International code (ASME, API)</w:t>
            </w:r>
          </w:p>
        </w:tc>
        <w:tc>
          <w:tcPr/>
          <w:p>
            <w:pPr>
              <w:pStyle w:val="Compact"/>
            </w:pPr>
            <w:r>
              <w:t xml:space="preserve">Is the component technically adequate?</w:t>
            </w:r>
          </w:p>
        </w:tc>
        <w:tc>
          <w:tcPr/>
          <w:p>
            <w:pPr>
              <w:pStyle w:val="Compact"/>
            </w:pPr>
            <w:r>
              <w:t xml:space="preserve">Remaining life = 136.3 years → PASS</w:t>
            </w:r>
          </w:p>
        </w:tc>
      </w:tr>
      <w:tr>
        <w:tc>
          <w:tcPr/>
          <w:p>
            <w:pPr>
              <w:pStyle w:val="Compact"/>
            </w:pPr>
            <w:r>
              <w:t xml:space="preserve">National regulation (KOSHA PSM)</w:t>
            </w:r>
          </w:p>
        </w:tc>
        <w:tc>
          <w:tcPr/>
          <w:p>
            <w:pPr>
              <w:pStyle w:val="Compact"/>
            </w:pPr>
            <w:r>
              <w:t xml:space="preserve">Are procedural/documentation obligations met?</w:t>
            </w:r>
          </w:p>
        </w:tc>
        <w:tc>
          <w:tcPr/>
          <w:p>
            <w:pPr>
              <w:pStyle w:val="Compact"/>
            </w:pPr>
            <w:r>
              <w:t xml:space="preserve">RL &gt; threshold → mandatory documentation per M-69-2012</w:t>
            </w:r>
          </w:p>
        </w:tc>
      </w:tr>
    </w:tbl>
    <w:p>
      <w:pPr>
        <w:pStyle w:val="BodyText"/>
      </w:pPr>
      <w:r>
        <w:t xml:space="preserve">The gap arises because calculation tools implement only the first layer. The second layer requires access to jurisdiction-specific regulatory knowledge that is external to the calculation engine.</w:t>
      </w:r>
    </w:p>
    <w:bookmarkEnd w:id="22"/>
    <w:bookmarkStart w:id="23" w:name="generalisability"/>
    <w:p>
      <w:pPr>
        <w:pStyle w:val="Heading3"/>
      </w:pPr>
      <w:r>
        <w:t xml:space="preserve">3.3. Generalisability</w:t>
      </w:r>
    </w:p>
    <w:p>
      <w:pPr>
        <w:pStyle w:val="FirstParagraph"/>
      </w:pPr>
      <w:r>
        <w:t xml:space="preserve">While we illustrate this gap in Korean jurisdiction, the concept likely applies wherever national regulations augment international codes: EU Pressure Equipment Directive layered on ASME; Saudi GACA requirements layered on FAA; Chinese GB standards layered on ISO. Any jurisdiction with a regulatory layer beyond international code calculations may exhibit analogous gaps.</w:t>
      </w:r>
    </w:p>
    <w:p>
      <w:r>
        <w:pict>
          <v:rect style="width:0;height:1.5pt" o:hralign="center" o:hrstd="t" o:hr="t"/>
        </w:pict>
      </w:r>
    </w:p>
    <w:bookmarkEnd w:id="23"/>
    <w:bookmarkEnd w:id="24"/>
    <w:bookmarkStart w:id="28" w:name="system-architecture"/>
    <w:p>
      <w:pPr>
        <w:pStyle w:val="Heading2"/>
      </w:pPr>
      <w:r>
        <w:t xml:space="preserve">4. System Architecture</w:t>
      </w:r>
    </w:p>
    <w:bookmarkStart w:id="25" w:name="overview"/>
    <w:p>
      <w:pPr>
        <w:pStyle w:val="Heading3"/>
      </w:pPr>
      <w:r>
        <w:t xml:space="preserve">4.1. Overview</w:t>
      </w:r>
    </w:p>
    <w:p>
      <w:pPr>
        <w:pStyle w:val="FirstParagraph"/>
      </w:pPr>
      <w:r>
        <w:t xml:space="preserve">The system comprises an orchestrator, seven domain calculation services, a cross-discipline validator, a KOSHA RAG layer, and an API layer. User requests from any lifecycle phase—design, construction, or in-service inspection—are classified and routed by the orchestrator. Each domain service executes standards-based calculations through the four-layer verification model. Cross-discipline coupling is checked across ten domain pairs. The KOSHA RAG layer provides regulatory grounding. The output integrates calculation numerics, verification status, regulatory citations, and audit trail.</w:t>
      </w:r>
    </w:p>
    <w:bookmarkEnd w:id="25"/>
    <w:bookmarkStart w:id="26" w:name="domain-engines"/>
    <w:p>
      <w:pPr>
        <w:pStyle w:val="Heading3"/>
      </w:pPr>
      <w:r>
        <w:t xml:space="preserve">4.2. Domain engines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Standards</w:t>
            </w:r>
          </w:p>
        </w:tc>
        <w:tc>
          <w:tcPr/>
          <w:p>
            <w:pPr>
              <w:pStyle w:val="Compact"/>
            </w:pPr>
            <w:r>
              <w:t xml:space="preserve">Key Outputs</w:t>
            </w:r>
          </w:p>
        </w:tc>
      </w:tr>
      <w:tr>
        <w:tc>
          <w:tcPr/>
          <w:p>
            <w:pPr>
              <w:pStyle w:val="Compact"/>
            </w:pPr>
            <w:r>
              <w:t xml:space="preserve">Piping</w:t>
            </w:r>
          </w:p>
        </w:tc>
        <w:tc>
          <w:tcPr/>
          <w:p>
            <w:pPr>
              <w:pStyle w:val="Compact"/>
            </w:pPr>
            <w:r>
              <w:t xml:space="preserve">ASME B31.3, API 570</w:t>
            </w:r>
          </w:p>
        </w:tc>
        <w:tc>
          <w:tcPr/>
          <w:p>
            <w:pPr>
              <w:pStyle w:val="Compact"/>
            </w:pPr>
            <w:r>
              <w:t xml:space="preserve">Wall thickness, hoop stress, remaining life, inspection interval</w:t>
            </w:r>
          </w:p>
        </w:tc>
      </w:tr>
      <w:tr>
        <w:tc>
          <w:tcPr/>
          <w:p>
            <w:pPr>
              <w:pStyle w:val="Compact"/>
            </w:pPr>
            <w:r>
              <w:t xml:space="preserve">Pressure Vessels</w:t>
            </w:r>
          </w:p>
        </w:tc>
        <w:tc>
          <w:tcPr/>
          <w:p>
            <w:pPr>
              <w:pStyle w:val="Compact"/>
            </w:pPr>
            <w:r>
              <w:t xml:space="preserve">ASME VIII Div.1, API 510, API 579-1</w:t>
            </w:r>
          </w:p>
        </w:tc>
        <w:tc>
          <w:tcPr/>
          <w:p>
            <w:pPr>
              <w:pStyle w:val="Compact"/>
            </w:pPr>
            <w:r>
              <w:t xml:space="preserve">Shell thickness, FFS screening, remaining life</w:t>
            </w:r>
          </w:p>
        </w:tc>
      </w:tr>
      <w:tr>
        <w:tc>
          <w:tcPr/>
          <w:p>
            <w:pPr>
              <w:pStyle w:val="Compact"/>
            </w:pPr>
            <w:r>
              <w:t xml:space="preserve">Rotating Equipment</w:t>
            </w:r>
          </w:p>
        </w:tc>
        <w:tc>
          <w:tcPr/>
          <w:p>
            <w:pPr>
              <w:pStyle w:val="Compact"/>
            </w:pPr>
            <w:r>
              <w:t xml:space="preserve">API 610, 617, 670</w:t>
            </w:r>
          </w:p>
        </w:tc>
        <w:tc>
          <w:tcPr/>
          <w:p>
            <w:pPr>
              <w:pStyle w:val="Compact"/>
            </w:pPr>
            <w:r>
              <w:t xml:space="preserve">Vibration limits, bearing health, steam state screening</w:t>
            </w:r>
          </w:p>
        </w:tc>
      </w:tr>
      <w:tr>
        <w:tc>
          <w:tcPr/>
          <w:p>
            <w:pPr>
              <w:pStyle w:val="Compact"/>
            </w:pPr>
            <w:r>
              <w:t xml:space="preserve">Electrical</w:t>
            </w:r>
          </w:p>
        </w:tc>
        <w:tc>
          <w:tcPr/>
          <w:p>
            <w:pPr>
              <w:pStyle w:val="Compact"/>
            </w:pPr>
            <w:r>
              <w:t xml:space="preserve">IEEE C57.104, 1584-2018</w:t>
            </w:r>
          </w:p>
        </w:tc>
        <w:tc>
          <w:tcPr/>
          <w:p>
            <w:pPr>
              <w:pStyle w:val="Compact"/>
            </w:pPr>
            <w:r>
              <w:t xml:space="preserve">Transformer HI, arc-flash energy, PPE category</w:t>
            </w:r>
          </w:p>
        </w:tc>
      </w:tr>
      <w:tr>
        <w:tc>
          <w:tcPr/>
          <w:p>
            <w:pPr>
              <w:pStyle w:val="Compact"/>
            </w:pPr>
            <w:r>
              <w:t xml:space="preserve">Instrumentation</w:t>
            </w:r>
          </w:p>
        </w:tc>
        <w:tc>
          <w:tcPr/>
          <w:p>
            <w:pPr>
              <w:pStyle w:val="Compact"/>
            </w:pPr>
            <w:r>
              <w:t xml:space="preserve">IEC 61511, ISA-TR84.00.02</w:t>
            </w:r>
          </w:p>
        </w:tc>
        <w:tc>
          <w:tcPr/>
          <w:p>
            <w:pPr>
              <w:pStyle w:val="Compact"/>
            </w:pPr>
            <w:r>
              <w:t xml:space="preserve">PFDavg, SIL verification, calibration health</w:t>
            </w:r>
          </w:p>
        </w:tc>
      </w:tr>
      <w:tr>
        <w:tc>
          <w:tcPr/>
          <w:p>
            <w:pPr>
              <w:pStyle w:val="Compact"/>
            </w:pPr>
            <w:r>
              <w:t xml:space="preserve">Structural Steel</w:t>
            </w:r>
          </w:p>
        </w:tc>
        <w:tc>
          <w:tcPr/>
          <w:p>
            <w:pPr>
              <w:pStyle w:val="Compact"/>
            </w:pPr>
            <w:r>
              <w:t xml:space="preserve">AISC 360</w:t>
            </w:r>
          </w:p>
        </w:tc>
        <w:tc>
          <w:tcPr/>
          <w:p>
            <w:pPr>
              <w:pStyle w:val="Compact"/>
            </w:pPr>
            <w:r>
              <w:t xml:space="preserve">D/C ratio, section loss, fatigue assessment</w:t>
            </w:r>
          </w:p>
        </w:tc>
      </w:tr>
      <w:tr>
        <w:tc>
          <w:tcPr/>
          <w:p>
            <w:pPr>
              <w:pStyle w:val="Compact"/>
            </w:pPr>
            <w:r>
              <w:t xml:space="preserve">Civil / Concrete</w:t>
            </w:r>
          </w:p>
        </w:tc>
        <w:tc>
          <w:tcPr/>
          <w:p>
            <w:pPr>
              <w:pStyle w:val="Compact"/>
            </w:pPr>
            <w:r>
              <w:t xml:space="preserve">ACI 318, 562</w:t>
            </w:r>
          </w:p>
        </w:tc>
        <w:tc>
          <w:tcPr/>
          <w:p>
            <w:pPr>
              <w:pStyle w:val="Compact"/>
            </w:pPr>
            <w:r>
              <w:t xml:space="preserve">Flexure D/C, carbonation depth, repair priority</w:t>
            </w:r>
          </w:p>
        </w:tc>
      </w:tr>
    </w:tbl>
    <w:bookmarkEnd w:id="26"/>
    <w:bookmarkStart w:id="27" w:name="technology-constraints"/>
    <w:p>
      <w:pPr>
        <w:pStyle w:val="Heading3"/>
      </w:pPr>
      <w:r>
        <w:t xml:space="preserve">4.3. Technology constraints</w:t>
      </w:r>
    </w:p>
    <w:p>
      <w:pPr>
        <w:pStyle w:val="FirstParagraph"/>
      </w:pPr>
      <w:r>
        <w:t xml:space="preserve">All inference runs on-premises using Ollama with Qwen 2.5 7B Instruct (4-bit quantisation, 32,768-token context). No external data transmission occurs. The RAG index uses SQLite FTS5. This design satisfies industrial data-sovereignty requirements.</w:t>
      </w:r>
    </w:p>
    <w:p>
      <w:r>
        <w:pict>
          <v:rect style="width:0;height:1.5pt" o:hralign="center" o:hrstd="t" o:hr="t"/>
        </w:pict>
      </w:r>
    </w:p>
    <w:bookmarkEnd w:id="27"/>
    <w:bookmarkEnd w:id="28"/>
    <w:bookmarkStart w:id="32" w:name="kosha-regulatory-rag-layer"/>
    <w:p>
      <w:pPr>
        <w:pStyle w:val="Heading2"/>
      </w:pPr>
      <w:r>
        <w:t xml:space="preserve">5. KOSHA Regulatory RAG Layer</w:t>
      </w:r>
    </w:p>
    <w:bookmarkStart w:id="29" w:name="corpus-construction"/>
    <w:p>
      <w:pPr>
        <w:pStyle w:val="Heading3"/>
      </w:pPr>
      <w:r>
        <w:t xml:space="preserve">5.1. Corpus construction</w:t>
      </w:r>
    </w:p>
    <w:p>
      <w:pPr>
        <w:pStyle w:val="FirstParagraph"/>
      </w:pPr>
      <w:r>
        <w:t xml:space="preserve">Two KOSHA public APIs were used:</w:t>
      </w:r>
    </w:p>
    <w:p>
      <w:pPr>
        <w:pStyle w:val="Compact"/>
        <w:numPr>
          <w:ilvl w:val="0"/>
          <w:numId w:val="1004"/>
        </w:numPr>
      </w:pPr>
      <w:r>
        <w:rPr>
          <w:b/>
          <w:bCs/>
        </w:rPr>
        <w:t xml:space="preserve">Smart-search API</w:t>
      </w:r>
      <w:r>
        <w:t xml:space="preserve">: 18,576 rows of guide-section and statutory-provision metadata across categories 1–11, covering 1,327 guide documents (9,069 sections) and 3,102 statutory provisions.</w:t>
      </w:r>
    </w:p>
    <w:p>
      <w:pPr>
        <w:pStyle w:val="Compact"/>
        <w:numPr>
          <w:ilvl w:val="0"/>
          <w:numId w:val="1004"/>
        </w:numPr>
      </w:pPr>
      <w:r>
        <w:rPr>
          <w:b/>
          <w:bCs/>
        </w:rPr>
        <w:t xml:space="preserve">Guide API</w:t>
      </w:r>
      <w:r>
        <w:t xml:space="preserve">: 1,039 of the 1,327 guide documents were available as downloadable PDFs; these were parsed page-by-page and segmented into 13,084 retrieval-optimised chunks. The remaining 288 guides are metadata-only entries without downloadable PDF content in the KOSHA system.</w:t>
      </w:r>
    </w:p>
    <w:p>
      <w:pPr>
        <w:pStyle w:val="FirstParagraph"/>
      </w:pPr>
      <w:r>
        <w:t xml:space="preserve">After deduplication and normalisation, the SQLite FTS5 index contains</w:t>
      </w:r>
      <w:r>
        <w:t xml:space="preserve"> </w:t>
      </w:r>
      <w:r>
        <w:rPr>
          <w:b/>
          <w:bCs/>
        </w:rPr>
        <w:t xml:space="preserve">16,186 searchable rows</w:t>
      </w:r>
      <w:r>
        <w:t xml:space="preserve"> </w:t>
      </w:r>
      <w:r>
        <w:t xml:space="preserve">(13,084 guide chunks from parsed PDFs + 3,102 law-article entries from the smart-search API; 200 MB total).</w:t>
      </w:r>
    </w:p>
    <w:bookmarkEnd w:id="29"/>
    <w:bookmarkStart w:id="30" w:name="retrieval-pipeline"/>
    <w:p>
      <w:pPr>
        <w:pStyle w:val="Heading3"/>
      </w:pPr>
      <w:r>
        <w:t xml:space="preserve">5.2. Retrieval pipeline</w:t>
      </w:r>
    </w:p>
    <w:p>
      <w:pPr>
        <w:pStyle w:val="FirstParagraph"/>
      </w:pPr>
      <w:r>
        <w:t xml:space="preserve">Domain calculation outputs are converted to Korean natural-language queries. A concept-aware query builder joins concepts with AND and expands synonyms within each concept using OR. When strict AND matching yields no results, a loose OR fallback is used. This design addresses the bilingual and abbreviation-heavy nature of Korean engineering terminology (e.g.,</w:t>
      </w:r>
      <w:r>
        <w:t xml:space="preserve"> </w:t>
      </w:r>
      <w:r>
        <w:t xml:space="preserve">“잔여수명”</w:t>
      </w:r>
      <w:r>
        <w:t xml:space="preserve"> </w:t>
      </w:r>
      <w:r>
        <w:t xml:space="preserve">/</w:t>
      </w:r>
      <w:r>
        <w:t xml:space="preserve"> </w:t>
      </w:r>
      <w:r>
        <w:t xml:space="preserve">“remaining life”</w:t>
      </w:r>
      <w:r>
        <w:t xml:space="preserve"> </w:t>
      </w:r>
      <w:r>
        <w:t xml:space="preserve">/</w:t>
      </w:r>
      <w:r>
        <w:t xml:space="preserve"> </w:t>
      </w:r>
      <w:r>
        <w:t xml:space="preserve">“RL”</w:t>
      </w:r>
      <w:r>
        <w:t xml:space="preserve">).</w:t>
      </w:r>
    </w:p>
    <w:bookmarkEnd w:id="30"/>
    <w:bookmarkStart w:id="31" w:name="generation-pipeline"/>
    <w:p>
      <w:pPr>
        <w:pStyle w:val="Heading3"/>
      </w:pPr>
      <w:r>
        <w:t xml:space="preserve">5.3. Generation pipeline</w:t>
      </w:r>
    </w:p>
    <w:p>
      <w:pPr>
        <w:pStyle w:val="FirstParagraph"/>
      </w:pPr>
      <w:r>
        <w:t xml:space="preserve">Retrieved passages provide context for Qwen 2.5 7B Instruct, which generates structured Korean regulatory grounding: (1) key conclusion, (2) regulatory justification summary with guide/article citations, and (3) practical advisories. BM25 retrieval supports CPU-only deployment; semantic vector search is deferred to GPU-capable environments.</w:t>
      </w:r>
    </w:p>
    <w:p>
      <w:r>
        <w:pict>
          <v:rect style="width:0;height:1.5pt" o:hralign="center" o:hrstd="t" o:hr="t"/>
        </w:pict>
      </w:r>
    </w:p>
    <w:bookmarkEnd w:id="31"/>
    <w:bookmarkEnd w:id="32"/>
    <w:bookmarkStart w:id="38" w:name="four-layer-hybrid-verification-model"/>
    <w:p>
      <w:pPr>
        <w:pStyle w:val="Heading2"/>
      </w:pPr>
      <w:r>
        <w:t xml:space="preserve">6. Four-Layer Hybrid Verification Model</w:t>
      </w:r>
    </w:p>
    <w:bookmarkStart w:id="33" w:name="layer-1-input-validation"/>
    <w:p>
      <w:pPr>
        <w:pStyle w:val="Heading3"/>
      </w:pPr>
      <w:r>
        <w:t xml:space="preserve">6.1. Layer 1 — Input validation</w:t>
      </w:r>
    </w:p>
    <w:p>
      <w:pPr>
        <w:pStyle w:val="FirstParagraph"/>
      </w:pPr>
      <w:r>
        <w:t xml:space="preserve">Mandatory field presence, unit contract compliance, and domain-specific range constraints. Missing critical fields or unit violations trigger a blocking error that prevents downstream calculation. This layer gates all subsequent processing.</w:t>
      </w:r>
    </w:p>
    <w:bookmarkEnd w:id="33"/>
    <w:bookmarkStart w:id="34" w:name="layer-2-k-voting-consensus"/>
    <w:p>
      <w:pPr>
        <w:pStyle w:val="Heading3"/>
      </w:pPr>
      <w:r>
        <w:t xml:space="preserve">6.2. Layer 2 — K-voting consensus</w:t>
      </w:r>
    </w:p>
    <w:p>
      <w:pPr>
        <w:pStyle w:val="FirstParagraph"/>
      </w:pPr>
      <w:r>
        <w:t xml:space="preserve">Three calculation paths execute in parallel, each using deliberately varied numerical strategies:</w:t>
      </w:r>
      <w:r>
        <w:t xml:space="preserve"> </w:t>
      </w:r>
      <w:r>
        <w:t xml:space="preserve">-</w:t>
      </w:r>
      <w:r>
        <w:t xml:space="preserve"> </w:t>
      </w:r>
      <w:r>
        <w:rPr>
          <w:b/>
          <w:bCs/>
        </w:rPr>
        <w:t xml:space="preserve">Path A</w:t>
      </w:r>
      <w:r>
        <w:t xml:space="preserve">: standard rounding order and linear interpolation.</w:t>
      </w:r>
      <w:r>
        <w:t xml:space="preserve"> </w:t>
      </w:r>
      <w:r>
        <w:t xml:space="preserve">-</w:t>
      </w:r>
      <w:r>
        <w:t xml:space="preserve"> </w:t>
      </w:r>
      <w:r>
        <w:rPr>
          <w:b/>
          <w:bCs/>
        </w:rPr>
        <w:t xml:space="preserve">Path B</w:t>
      </w:r>
      <w:r>
        <w:t xml:space="preserve">: reversed rounding order and cubic interpolation.</w:t>
      </w:r>
      <w:r>
        <w:t xml:space="preserve"> </w:t>
      </w:r>
      <w:r>
        <w:t xml:space="preserve">-</w:t>
      </w:r>
      <w:r>
        <w:t xml:space="preserve"> </w:t>
      </w:r>
      <w:r>
        <w:rPr>
          <w:b/>
          <w:bCs/>
        </w:rPr>
        <w:t xml:space="preserve">Path C</w:t>
      </w:r>
      <w:r>
        <w:t xml:space="preserve">: extended intermediate precision (double the significant figures).</w:t>
      </w:r>
    </w:p>
    <w:p>
      <w:pPr>
        <w:pStyle w:val="BodyText"/>
      </w:pPr>
      <w:r>
        <w:t xml:space="preserve">The consensus criterion is defined as:</w:t>
      </w:r>
    </w:p>
    <w:p>
      <w:pPr>
        <w:pStyle w:val="BodyText"/>
      </w:pPr>
      <w:r>
        <w:rPr>
          <w:i/>
          <w:iCs/>
        </w:rPr>
        <w:t xml:space="preserve">Relative Deviation = |Output_i − Output_mean| / Output_mean × 100%</w:t>
      </w:r>
    </w:p>
    <w:p>
      <w:pPr>
        <w:pStyle w:val="BodyText"/>
      </w:pPr>
      <w:r>
        <w:t xml:space="preserve">The maximum relative deviation among the three outputs must not exceed 1%. This threshold was selected based on three considerations: (i) engineering calculation workflows are generally tolerant of small intermediate numerical deviations (on the order of 1%) when final pass/fail outcomes remain unchanged; (ii) sensitivity analysis across the 220 golden cases confirmed that deviations below 1% never altered the regulatory status (pass/fail/warning) of any case, whereas deviations above 1% would flip the status in 3.2% of boundary cases; and (iii) the threshold was empirically validated through the 50-round optimisation procedure, which confirmed that 1% provides the best trade-off between false-consensus avoidance and unnecessary tiebreaker invocations. Detailed threshold sensitivity results across the golden case set are available in the released code repository. If the threshold is exceeded, a tiebreaker path is invoked; persistent failure triggers a no-consensus flag requesting human review.</w:t>
      </w:r>
    </w:p>
    <w:p>
      <w:pPr>
        <w:pStyle w:val="BodyText"/>
      </w:pPr>
      <w:r>
        <w:t xml:space="preserve">This mechanism adapts N-version programming (Avizienis, 1985) to engineering calculation verification, targeting numerical-consistency rather than full implementation independence.</w:t>
      </w:r>
    </w:p>
    <w:bookmarkEnd w:id="34"/>
    <w:bookmarkStart w:id="35" w:name="layer-3-physics-and-code-compliance"/>
    <w:p>
      <w:pPr>
        <w:pStyle w:val="Heading3"/>
      </w:pPr>
      <w:r>
        <w:t xml:space="preserve">6.3. Layer 3 — Physics and code compliance</w:t>
      </w:r>
    </w:p>
    <w:p>
      <w:pPr>
        <w:pStyle w:val="FirstParagraph"/>
      </w:pPr>
      <w:r>
        <w:t xml:space="preserve">Domain-specific red flags are enforced by rule-based checks. Examples:</w:t>
      </w:r>
      <w:r>
        <w:t xml:space="preserve"> </w:t>
      </w:r>
      <w:r>
        <w:t xml:space="preserve">- Piping: measured thickness &lt; minimum required thickness → critical block.</w:t>
      </w:r>
      <w:r>
        <w:t xml:space="preserve"> </w:t>
      </w:r>
      <w:r>
        <w:t xml:space="preserve">- Vessel: remaining life &lt; 0 → critical block.</w:t>
      </w:r>
      <w:r>
        <w:t xml:space="preserve"> </w:t>
      </w:r>
      <w:r>
        <w:t xml:space="preserve">- Rotating: vibration exceeds API 670 alert level → warning.</w:t>
      </w:r>
      <w:r>
        <w:t xml:space="preserve"> </w:t>
      </w:r>
      <w:r>
        <w:t xml:space="preserve">- Electrical: arc-flash energy &gt; 40 cal/cm² → PPE Category 4 escalation.</w:t>
      </w:r>
    </w:p>
    <w:p>
      <w:pPr>
        <w:pStyle w:val="BodyText"/>
      </w:pPr>
      <w:r>
        <w:t xml:space="preserve">All major calculation steps carry explicit standard citations (e.g.,</w:t>
      </w:r>
      <w:r>
        <w:t xml:space="preserve"> </w:t>
      </w:r>
      <w:r>
        <w:t xml:space="preserve">“ASME B31.3 §304.1.2”</w:t>
      </w:r>
      <w:r>
        <w:t xml:space="preserve">).</w:t>
      </w:r>
    </w:p>
    <w:bookmarkEnd w:id="35"/>
    <w:bookmarkStart w:id="36" w:name="layer-4-reverse-verification"/>
    <w:p>
      <w:pPr>
        <w:pStyle w:val="Heading3"/>
      </w:pPr>
      <w:r>
        <w:t xml:space="preserve">6.4. Layer 4 — Reverse verification</w:t>
      </w:r>
    </w:p>
    <w:p>
      <w:pPr>
        <w:pStyle w:val="FirstParagraph"/>
      </w:pPr>
      <w:r>
        <w:t xml:space="preserve">Key inputs are back-calculated from outputs and compared against originals:</w:t>
      </w:r>
      <w:r>
        <w:t xml:space="preserve"> </w:t>
      </w:r>
      <w:r>
        <w:t xml:space="preserve">- Deviation &lt; 2%: consistent (pass).</w:t>
      </w:r>
      <w:r>
        <w:t xml:space="preserve"> </w:t>
      </w:r>
      <w:r>
        <w:t xml:space="preserve">- Deviation 2–5%: warning with audit note.</w:t>
      </w:r>
      <w:r>
        <w:t xml:space="preserve"> </w:t>
      </w:r>
      <w:r>
        <w:t xml:space="preserve">- Deviation &gt; 5%: escalation with confidence downgrade.</w:t>
      </w:r>
    </w:p>
    <w:p>
      <w:pPr>
        <w:pStyle w:val="BodyText"/>
      </w:pPr>
      <w:r>
        <w:t xml:space="preserve">This layer detects internal inconsistencies that may indicate formula errors, unit conversion mistakes, or data corruption.</w:t>
      </w:r>
    </w:p>
    <w:bookmarkEnd w:id="36"/>
    <w:bookmarkStart w:id="37" w:name="cross-discipline-coupling-validator"/>
    <w:p>
      <w:pPr>
        <w:pStyle w:val="Heading3"/>
      </w:pPr>
      <w:r>
        <w:t xml:space="preserve">6.5. Cross-discipline coupling validator</w:t>
      </w:r>
    </w:p>
    <w:p>
      <w:pPr>
        <w:pStyle w:val="FirstParagraph"/>
      </w:pPr>
      <w:r>
        <w:t xml:space="preserve">Ten predefined domain pairs with coupling checks: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Pair</w:t>
            </w:r>
          </w:p>
        </w:tc>
        <w:tc>
          <w:tcPr/>
          <w:p>
            <w:pPr>
              <w:pStyle w:val="Compact"/>
            </w:pPr>
            <w:r>
              <w:t xml:space="preserve">Coupling Mechanism</w:t>
            </w:r>
          </w:p>
        </w:tc>
      </w:tr>
      <w:tr>
        <w:tc>
          <w:tcPr/>
          <w:p>
            <w:pPr>
              <w:pStyle w:val="Compact"/>
            </w:pPr>
            <w:r>
              <w:t xml:space="preserve">Piping ↔ Vessel</w:t>
            </w:r>
          </w:p>
        </w:tc>
        <w:tc>
          <w:tcPr/>
          <w:p>
            <w:pPr>
              <w:pStyle w:val="Compact"/>
            </w:pPr>
            <w:r>
              <w:t xml:space="preserve">Nozzle interface margin mismatch</w:t>
            </w:r>
          </w:p>
        </w:tc>
      </w:tr>
      <w:tr>
        <w:tc>
          <w:tcPr/>
          <w:p>
            <w:pPr>
              <w:pStyle w:val="Compact"/>
            </w:pPr>
            <w:r>
              <w:t xml:space="preserve">Piping ↔ Rotating</w:t>
            </w:r>
          </w:p>
        </w:tc>
        <w:tc>
          <w:tcPr/>
          <w:p>
            <w:pPr>
              <w:pStyle w:val="Compact"/>
            </w:pPr>
            <w:r>
              <w:t xml:space="preserve">Nozzle load → bearing degradation</w:t>
            </w:r>
          </w:p>
        </w:tc>
      </w:tr>
      <w:tr>
        <w:tc>
          <w:tcPr/>
          <w:p>
            <w:pPr>
              <w:pStyle w:val="Compact"/>
            </w:pPr>
            <w:r>
              <w:t xml:space="preserve">Electrical ↔ Rotating</w:t>
            </w:r>
          </w:p>
        </w:tc>
        <w:tc>
          <w:tcPr/>
          <w:p>
            <w:pPr>
              <w:pStyle w:val="Compact"/>
            </w:pPr>
            <w:r>
              <w:t xml:space="preserve">Harmonic distortion → bearing temperature</w:t>
            </w:r>
          </w:p>
        </w:tc>
      </w:tr>
      <w:tr>
        <w:tc>
          <w:tcPr/>
          <w:p>
            <w:pPr>
              <w:pStyle w:val="Compact"/>
            </w:pPr>
            <w:r>
              <w:t xml:space="preserve">Civil ↔ Rotating</w:t>
            </w:r>
          </w:p>
        </w:tc>
        <w:tc>
          <w:tcPr/>
          <w:p>
            <w:pPr>
              <w:pStyle w:val="Compact"/>
            </w:pPr>
            <w:r>
              <w:t xml:space="preserve">Foundation settlement → alignment failure</w:t>
            </w:r>
          </w:p>
        </w:tc>
      </w:tr>
      <w:tr>
        <w:tc>
          <w:tcPr/>
          <w:p>
            <w:pPr>
              <w:pStyle w:val="Compact"/>
            </w:pPr>
            <w:r>
              <w:t xml:space="preserve">Electrical ↔ Instrumentation</w:t>
            </w:r>
          </w:p>
        </w:tc>
        <w:tc>
          <w:tcPr/>
          <w:p>
            <w:pPr>
              <w:pStyle w:val="Compact"/>
            </w:pPr>
            <w:r>
              <w:t xml:space="preserve">Power quality → signal integrity</w:t>
            </w:r>
          </w:p>
        </w:tc>
      </w:tr>
      <w:tr>
        <w:tc>
          <w:tcPr/>
          <w:p>
            <w:pPr>
              <w:pStyle w:val="Compact"/>
            </w:pPr>
            <w:r>
              <w:t xml:space="preserve">Steel ↔ Civil</w:t>
            </w:r>
          </w:p>
        </w:tc>
        <w:tc>
          <w:tcPr/>
          <w:p>
            <w:pPr>
              <w:pStyle w:val="Compact"/>
            </w:pPr>
            <w:r>
              <w:t xml:space="preserve">Structural capacity → foundation demand</w:t>
            </w:r>
          </w:p>
        </w:tc>
      </w:tr>
      <w:tr>
        <w:tc>
          <w:tcPr/>
          <w:p>
            <w:pPr>
              <w:pStyle w:val="Compact"/>
            </w:pPr>
            <w:r>
              <w:t xml:space="preserve">Vessel ↔ Piping</w:t>
            </w:r>
          </w:p>
        </w:tc>
        <w:tc>
          <w:tcPr/>
          <w:p>
            <w:pPr>
              <w:pStyle w:val="Compact"/>
            </w:pPr>
            <w:r>
              <w:t xml:space="preserve">Nozzle load reciprocal check</w:t>
            </w:r>
          </w:p>
        </w:tc>
      </w:tr>
      <w:tr>
        <w:tc>
          <w:tcPr/>
          <w:p>
            <w:pPr>
              <w:pStyle w:val="Compact"/>
            </w:pPr>
            <w:r>
              <w:t xml:space="preserve">Steel ↔ Rotating</w:t>
            </w:r>
          </w:p>
        </w:tc>
        <w:tc>
          <w:tcPr/>
          <w:p>
            <w:pPr>
              <w:pStyle w:val="Compact"/>
            </w:pPr>
            <w:r>
              <w:t xml:space="preserve">Support structure → vibration transmission</w:t>
            </w:r>
          </w:p>
        </w:tc>
      </w:tr>
      <w:tr>
        <w:tc>
          <w:tcPr/>
          <w:p>
            <w:pPr>
              <w:pStyle w:val="Compact"/>
            </w:pPr>
            <w:r>
              <w:t xml:space="preserve">Instrumentation ↔ Vessel</w:t>
            </w:r>
          </w:p>
        </w:tc>
        <w:tc>
          <w:tcPr/>
          <w:p>
            <w:pPr>
              <w:pStyle w:val="Compact"/>
            </w:pPr>
            <w:r>
              <w:t xml:space="preserve">Safety function → equipment condition</w:t>
            </w:r>
          </w:p>
        </w:tc>
      </w:tr>
      <w:tr>
        <w:tc>
          <w:tcPr/>
          <w:p>
            <w:pPr>
              <w:pStyle w:val="Compact"/>
            </w:pPr>
            <w:r>
              <w:t xml:space="preserve">Civil ↔ Piping</w:t>
            </w:r>
          </w:p>
        </w:tc>
        <w:tc>
          <w:tcPr/>
          <w:p>
            <w:pPr>
              <w:pStyle w:val="Compact"/>
            </w:pPr>
            <w:r>
              <w:t xml:space="preserve">Settlement → pipe stress</w:t>
            </w:r>
          </w:p>
        </w:tc>
      </w:tr>
    </w:tbl>
    <w:p>
      <w:pPr>
        <w:pStyle w:val="BodyText"/>
      </w:pPr>
      <w:r>
        <w:t xml:space="preserve">Threshold tuning over 50 optimisation rounds achieved: standard-case blocking rate 0.0 (no false positives on nominal cases), boundary/failure blocking rate 1.0, weighted accuracy 1.0, and hard-block recall 1.0.</w:t>
      </w:r>
    </w:p>
    <w:p>
      <w:r>
        <w:pict>
          <v:rect style="width:0;height:1.5pt" o:hralign="center" o:hrstd="t" o:hr="t"/>
        </w:pict>
      </w:r>
    </w:p>
    <w:bookmarkEnd w:id="37"/>
    <w:bookmarkEnd w:id="38"/>
    <w:bookmarkStart w:id="44" w:name="experiments-and-evaluation"/>
    <w:p>
      <w:pPr>
        <w:pStyle w:val="Heading2"/>
      </w:pPr>
      <w:r>
        <w:t xml:space="preserve">7. Experiments and Evaluation</w:t>
      </w:r>
    </w:p>
    <w:bookmarkStart w:id="39" w:name="golden-dataset-validation"/>
    <w:p>
      <w:pPr>
        <w:pStyle w:val="Heading3"/>
      </w:pPr>
      <w:r>
        <w:t xml:space="preserve">7.1. Golden dataset validation</w:t>
      </w:r>
    </w:p>
    <w:p>
      <w:pPr>
        <w:pStyle w:val="FirstParagraph"/>
      </w:pPr>
      <w:r>
        <w:rPr>
          <w:b/>
          <w:bCs/>
        </w:rPr>
        <w:t xml:space="preserve">220 synthetic golden cases</w:t>
      </w:r>
      <w:r>
        <w:t xml:space="preserve"> </w:t>
      </w:r>
      <w:r>
        <w:t xml:space="preserve">across seven disciplines:</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Discipline</w:t>
            </w:r>
          </w:p>
        </w:tc>
        <w:tc>
          <w:tcPr/>
          <w:p>
            <w:pPr>
              <w:pStyle w:val="Compact"/>
              <w:jc w:val="right"/>
            </w:pPr>
            <w:r>
              <w:t xml:space="preserve">Standard</w:t>
            </w:r>
          </w:p>
        </w:tc>
        <w:tc>
          <w:tcPr/>
          <w:p>
            <w:pPr>
              <w:pStyle w:val="Compact"/>
              <w:jc w:val="right"/>
            </w:pPr>
            <w:r>
              <w:t xml:space="preserve">Boundary</w:t>
            </w:r>
          </w:p>
        </w:tc>
        <w:tc>
          <w:tcPr/>
          <w:p>
            <w:pPr>
              <w:pStyle w:val="Compact"/>
              <w:jc w:val="right"/>
            </w:pPr>
            <w:r>
              <w:t xml:space="preserve">Failure</w:t>
            </w:r>
          </w:p>
        </w:tc>
        <w:tc>
          <w:tcPr/>
          <w:p>
            <w:pPr>
              <w:pStyle w:val="Compact"/>
              <w:jc w:val="right"/>
            </w:pPr>
            <w:r>
              <w:t xml:space="preserve">Composite</w:t>
            </w:r>
          </w:p>
        </w:tc>
        <w:tc>
          <w:tcPr/>
          <w:p>
            <w:pPr>
              <w:pStyle w:val="Compact"/>
              <w:jc w:val="right"/>
            </w:pPr>
            <w:r>
              <w:t xml:space="preserve">Total</w:t>
            </w:r>
          </w:p>
        </w:tc>
      </w:tr>
      <w:tr>
        <w:tc>
          <w:tcPr/>
          <w:p>
            <w:pPr>
              <w:pStyle w:val="Compact"/>
            </w:pPr>
            <w:r>
              <w:t xml:space="preserve">Piping</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5</w:t>
            </w:r>
          </w:p>
        </w:tc>
        <w:tc>
          <w:tcPr/>
          <w:p>
            <w:pPr>
              <w:pStyle w:val="Compact"/>
              <w:jc w:val="right"/>
            </w:pPr>
            <w:r>
              <w:t xml:space="preserve">50</w:t>
            </w:r>
          </w:p>
        </w:tc>
      </w:tr>
      <w:tr>
        <w:tc>
          <w:tcPr/>
          <w:p>
            <w:pPr>
              <w:pStyle w:val="Compact"/>
            </w:pPr>
            <w:r>
              <w:t xml:space="preserve">Vessel</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Rotating</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Electrical</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Instrumentation</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Steel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4</w:t>
            </w:r>
          </w:p>
        </w:tc>
        <w:tc>
          <w:tcPr/>
          <w:p>
            <w:pPr>
              <w:pStyle w:val="Compact"/>
              <w:jc w:val="right"/>
            </w:pPr>
            <w:r>
              <w:t xml:space="preserve">—</w:t>
            </w:r>
          </w:p>
        </w:tc>
        <w:tc>
          <w:tcPr/>
          <w:p>
            <w:pPr>
              <w:pStyle w:val="Compact"/>
              <w:jc w:val="right"/>
            </w:pPr>
            <w:r>
              <w:t xml:space="preserve">25</w:t>
            </w:r>
          </w:p>
        </w:tc>
      </w:tr>
      <w:tr>
        <w:tc>
          <w:tcPr/>
          <w:p>
            <w:pPr>
              <w:pStyle w:val="Compact"/>
            </w:pPr>
            <w:r>
              <w:t xml:space="preserve">Civil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4</w:t>
            </w:r>
          </w:p>
        </w:tc>
        <w:tc>
          <w:tcPr/>
          <w:p>
            <w:pPr>
              <w:pStyle w:val="Compact"/>
              <w:jc w:val="right"/>
            </w:pPr>
            <w:r>
              <w:t xml:space="preserve">—</w:t>
            </w:r>
          </w:p>
        </w:tc>
        <w:tc>
          <w:tcPr/>
          <w:p>
            <w:pPr>
              <w:pStyle w:val="Compact"/>
              <w:jc w:val="right"/>
            </w:pPr>
            <w:r>
              <w:t xml:space="preserve">25</w:t>
            </w:r>
          </w:p>
        </w:tc>
      </w:tr>
      <w:tr>
        <w:tc>
          <w:tcPr/>
          <w:p>
            <w:pPr>
              <w:pStyle w:val="Compact"/>
            </w:pPr>
            <w:r>
              <w:rPr>
                <w:b/>
                <w:bCs/>
              </w:rPr>
              <w:t xml:space="preserve">Total</w:t>
            </w:r>
          </w:p>
        </w:tc>
        <w:tc>
          <w:tcPr/>
          <w:p>
            <w:pPr>
              <w:pStyle w:val="Compact"/>
              <w:jc w:val="right"/>
            </w:pPr>
            <w:r>
              <w:rPr>
                <w:b/>
                <w:bCs/>
              </w:rPr>
              <w:t xml:space="preserve">122 (55%)</w:t>
            </w:r>
          </w:p>
        </w:tc>
        <w:tc>
          <w:tcPr/>
          <w:p>
            <w:pPr>
              <w:pStyle w:val="Compact"/>
              <w:jc w:val="right"/>
            </w:pPr>
            <w:r>
              <w:rPr>
                <w:b/>
                <w:bCs/>
              </w:rPr>
              <w:t xml:space="preserve">55 (25%)</w:t>
            </w:r>
          </w:p>
        </w:tc>
        <w:tc>
          <w:tcPr/>
          <w:p>
            <w:pPr>
              <w:pStyle w:val="Compact"/>
              <w:jc w:val="right"/>
            </w:pPr>
            <w:r>
              <w:rPr>
                <w:b/>
                <w:bCs/>
              </w:rPr>
              <w:t xml:space="preserve">38 (17%)</w:t>
            </w:r>
          </w:p>
        </w:tc>
        <w:tc>
          <w:tcPr/>
          <w:p>
            <w:pPr>
              <w:pStyle w:val="Compact"/>
              <w:jc w:val="right"/>
            </w:pPr>
            <w:r>
              <w:rPr>
                <w:b/>
                <w:bCs/>
              </w:rPr>
              <w:t xml:space="preserve">5 (2%)</w:t>
            </w:r>
          </w:p>
        </w:tc>
        <w:tc>
          <w:tcPr/>
          <w:p>
            <w:pPr>
              <w:pStyle w:val="Compact"/>
              <w:jc w:val="right"/>
            </w:pPr>
            <w:r>
              <w:rPr>
                <w:b/>
                <w:bCs/>
              </w:rPr>
              <w:t xml:space="preserve">220</w:t>
            </w:r>
          </w:p>
        </w:tc>
      </w:tr>
    </w:tbl>
    <w:p>
      <w:pPr>
        <w:pStyle w:val="BodyText"/>
      </w:pPr>
      <w:r>
        <w:t xml:space="preserve">Each golden case was constructed through the following procedure:</w:t>
      </w:r>
    </w:p>
    <w:p>
      <w:pPr>
        <w:pStyle w:val="Compact"/>
        <w:numPr>
          <w:ilvl w:val="0"/>
          <w:numId w:val="1005"/>
        </w:numPr>
      </w:pPr>
      <w:r>
        <w:rPr>
          <w:b/>
          <w:bCs/>
        </w:rPr>
        <w:t xml:space="preserve">Seed data selection.</w:t>
      </w:r>
      <w:r>
        <w:t xml:space="preserve"> </w:t>
      </w:r>
      <w:r>
        <w:t xml:space="preserve">Reference calculation examples from the applicable standards served as starting points — e.g., ASME B31.3 Appendix H sample calculations for piping, ASME Section VIII UG-27 worked examples for vessels, API 579-1 Level 1/Level 2 assessment examples for fitness-for-service.</w:t>
      </w:r>
    </w:p>
    <w:p>
      <w:pPr>
        <w:pStyle w:val="Compact"/>
        <w:numPr>
          <w:ilvl w:val="0"/>
          <w:numId w:val="1005"/>
        </w:numPr>
      </w:pPr>
      <w:r>
        <w:rPr>
          <w:b/>
          <w:bCs/>
        </w:rPr>
        <w:t xml:space="preserve">Systematic parameter perturbation.</w:t>
      </w:r>
      <w:r>
        <w:t xml:space="preserve"> </w:t>
      </w:r>
      <w:r>
        <w:t xml:space="preserve">Operating parameters were varied within realistic engineering ranges: temperature ±15–20%, pressure ±10–15%, corrosion rate 0.05–0.50 mm/yr, wall thickness from well-above-minimum to below-minimum. Material grades were varied across common carbon steel specifications (SA-106 Gr.B, SA-516-70, SA-240-316L).</w:t>
      </w:r>
    </w:p>
    <w:p>
      <w:pPr>
        <w:pStyle w:val="Compact"/>
        <w:numPr>
          <w:ilvl w:val="0"/>
          <w:numId w:val="1005"/>
        </w:numPr>
      </w:pPr>
      <w:r>
        <w:rPr>
          <w:b/>
          <w:bCs/>
        </w:rPr>
        <w:t xml:space="preserve">Case classification.</w:t>
      </w:r>
      <w:r>
        <w:t xml:space="preserve"> </w:t>
      </w:r>
      <w:r>
        <w:t xml:space="preserve">Cases were labelled based on their relationship to regulatory thresholds:</w:t>
      </w:r>
      <w:r>
        <w:t xml:space="preserve"> </w:t>
      </w:r>
      <w:r>
        <w:rPr>
          <w:i/>
          <w:iCs/>
        </w:rPr>
        <w:t xml:space="preserve">standard</w:t>
      </w:r>
      <w:r>
        <w:t xml:space="preserve"> </w:t>
      </w:r>
      <w:r>
        <w:t xml:space="preserve">cases fall comfortably within code limits;</w:t>
      </w:r>
      <w:r>
        <w:t xml:space="preserve"> </w:t>
      </w:r>
      <w:r>
        <w:rPr>
          <w:i/>
          <w:iCs/>
        </w:rPr>
        <w:t xml:space="preserve">boundary</w:t>
      </w:r>
      <w:r>
        <w:t xml:space="preserve"> </w:t>
      </w:r>
      <w:r>
        <w:t xml:space="preserve">cases have at least one parameter within 5% of a pass/fail threshold;</w:t>
      </w:r>
      <w:r>
        <w:t xml:space="preserve"> </w:t>
      </w:r>
      <w:r>
        <w:rPr>
          <w:i/>
          <w:iCs/>
        </w:rPr>
        <w:t xml:space="preserve">failure</w:t>
      </w:r>
      <w:r>
        <w:t xml:space="preserve"> </w:t>
      </w:r>
      <w:r>
        <w:t xml:space="preserve">cases have at least one parameter that should trigger a red flag or blocking condition;</w:t>
      </w:r>
      <w:r>
        <w:t xml:space="preserve"> </w:t>
      </w:r>
      <w:r>
        <w:rPr>
          <w:i/>
          <w:iCs/>
        </w:rPr>
        <w:t xml:space="preserve">composite</w:t>
      </w:r>
      <w:r>
        <w:t xml:space="preserve"> </w:t>
      </w:r>
      <w:r>
        <w:t xml:space="preserve">cases combine multiple boundary/failure conditions.</w:t>
      </w:r>
    </w:p>
    <w:p>
      <w:pPr>
        <w:pStyle w:val="FirstParagraph"/>
      </w:pPr>
      <w:r>
        <w:t xml:space="preserve">Runtime validation recorded</w:t>
      </w:r>
      <w:r>
        <w:t xml:space="preserve"> </w:t>
      </w:r>
      <w:r>
        <w:rPr>
          <w:b/>
          <w:bCs/>
        </w:rPr>
        <w:t xml:space="preserve">220/220 passes</w:t>
      </w:r>
      <w:r>
        <w:t xml:space="preserve">, with accuracy, red-flag detection rate, and standard citation coverage all at 1.0000. It is important to note that these perfect scores are</w:t>
      </w:r>
      <w:r>
        <w:t xml:space="preserve"> </w:t>
      </w:r>
      <w:r>
        <w:rPr>
          <w:i/>
          <w:iCs/>
        </w:rPr>
        <w:t xml:space="preserve">expected and unremarkable</w:t>
      </w:r>
      <w:r>
        <w:t xml:space="preserve"> </w:t>
      </w:r>
      <w:r>
        <w:t xml:space="preserve">for deterministic rule-based engines evaluated against cases derived from the same standards they implement. The golden dataset validates</w:t>
      </w:r>
      <w:r>
        <w:t xml:space="preserve"> </w:t>
      </w:r>
      <w:r>
        <w:rPr>
          <w:b/>
          <w:bCs/>
        </w:rPr>
        <w:t xml:space="preserve">implementation correctness</w:t>
      </w:r>
      <w:r>
        <w:t xml:space="preserve"> </w:t>
      </w:r>
      <w:r>
        <w:t xml:space="preserve">— confirming that the calculation engines faithfully reproduce the reference standard formulas — rather than generalisation capability. Generalisation to real plant conditions, where input data may be noisy, incomplete, or outside standard reference ranges, remains unvalidated and is a primary direction for future work (Section 9).</w:t>
      </w:r>
    </w:p>
    <w:bookmarkEnd w:id="39"/>
    <w:bookmarkStart w:id="40" w:name="seven-discipline-pipeline"/>
    <w:p>
      <w:pPr>
        <w:pStyle w:val="Heading3"/>
      </w:pPr>
      <w:r>
        <w:t xml:space="preserve">7.2. Seven-discipline pipeline</w:t>
      </w:r>
    </w:p>
    <w:p>
      <w:pPr>
        <w:pStyle w:val="FirstParagraph"/>
      </w:pPr>
      <w:r>
        <w:t xml:space="preserve">Across 43 pipeline scenarios: completion rate 0.6512, blocking rate 0.3488. Nominal and standard-aligned cases: 1.0000 completion. Boundary and failure cases: 1.0000 blocking. This confirms correct hazard identification without false positives on clean inputs.</w:t>
      </w:r>
    </w:p>
    <w:bookmarkEnd w:id="40"/>
    <w:bookmarkStart w:id="41" w:name="cross-discipline-validator-ablation-rq1"/>
    <w:p>
      <w:pPr>
        <w:pStyle w:val="Heading3"/>
      </w:pPr>
      <w:r>
        <w:t xml:space="preserve">7.3. Cross-discipline validator ablation (RQ1)</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Scenario Set</w:t>
            </w:r>
          </w:p>
        </w:tc>
        <w:tc>
          <w:tcPr/>
          <w:p>
            <w:pPr>
              <w:pStyle w:val="Compact"/>
              <w:jc w:val="right"/>
            </w:pPr>
            <w:r>
              <w:t xml:space="preserve">Validator OFF</w:t>
            </w:r>
          </w:p>
        </w:tc>
        <w:tc>
          <w:tcPr/>
          <w:p>
            <w:pPr>
              <w:pStyle w:val="Compact"/>
              <w:jc w:val="right"/>
            </w:pPr>
            <w:r>
              <w:t xml:space="preserve">Validator ON</w:t>
            </w:r>
          </w:p>
        </w:tc>
        <w:tc>
          <w:tcPr/>
          <w:p>
            <w:pPr>
              <w:pStyle w:val="Compact"/>
              <w:jc w:val="right"/>
            </w:pPr>
            <w:r>
              <w:t xml:space="preserve">Absolute Delta</w:t>
            </w:r>
          </w:p>
        </w:tc>
        <w:tc>
          <w:tcPr/>
          <w:p>
            <w:pPr>
              <w:pStyle w:val="Compact"/>
              <w:jc w:val="right"/>
            </w:pPr>
            <w:r>
              <w:t xml:space="preserve">Ratio Delta</w:t>
            </w:r>
          </w:p>
        </w:tc>
      </w:tr>
      <w:tr>
        <w:tc>
          <w:tcPr/>
          <w:p>
            <w:pPr>
              <w:pStyle w:val="Compact"/>
            </w:pPr>
            <w:r>
              <w:t xml:space="preserve">aligned_standard</w:t>
            </w:r>
          </w:p>
        </w:tc>
        <w:tc>
          <w:tcPr/>
          <w:p>
            <w:pPr>
              <w:pStyle w:val="Compact"/>
              <w:jc w:val="right"/>
            </w:pPr>
            <w:r>
              <w:t xml:space="preserve">0 / 10</w:t>
            </w:r>
          </w:p>
        </w:tc>
        <w:tc>
          <w:tcPr/>
          <w:p>
            <w:pPr>
              <w:pStyle w:val="Compact"/>
              <w:jc w:val="right"/>
            </w:pPr>
            <w:r>
              <w:t xml:space="preserve">0 / 10</w:t>
            </w:r>
          </w:p>
        </w:tc>
        <w:tc>
          <w:tcPr/>
          <w:p>
            <w:pPr>
              <w:pStyle w:val="Compact"/>
              <w:jc w:val="right"/>
            </w:pPr>
            <w:r>
              <w:t xml:space="preserve">+0</w:t>
            </w:r>
          </w:p>
        </w:tc>
        <w:tc>
          <w:tcPr/>
          <w:p>
            <w:pPr>
              <w:pStyle w:val="Compact"/>
              <w:jc w:val="right"/>
            </w:pPr>
            <w:r>
              <w:t xml:space="preserve">+0.00</w:t>
            </w:r>
          </w:p>
        </w:tc>
      </w:tr>
      <w:tr>
        <w:tc>
          <w:tcPr/>
          <w:p>
            <w:pPr>
              <w:pStyle w:val="Compact"/>
            </w:pPr>
            <w:r>
              <w:t xml:space="preserve">aligned_boundary</w:t>
            </w:r>
          </w:p>
        </w:tc>
        <w:tc>
          <w:tcPr/>
          <w:p>
            <w:pPr>
              <w:pStyle w:val="Compact"/>
              <w:jc w:val="right"/>
            </w:pPr>
            <w:r>
              <w:t xml:space="preserve">0 / 6</w:t>
            </w:r>
          </w:p>
        </w:tc>
        <w:tc>
          <w:tcPr/>
          <w:p>
            <w:pPr>
              <w:pStyle w:val="Compact"/>
              <w:jc w:val="right"/>
            </w:pPr>
            <w:r>
              <w:t xml:space="preserve">6 / 6</w:t>
            </w:r>
          </w:p>
        </w:tc>
        <w:tc>
          <w:tcPr/>
          <w:p>
            <w:pPr>
              <w:pStyle w:val="Compact"/>
              <w:jc w:val="right"/>
            </w:pPr>
            <w:r>
              <w:t xml:space="preserve">+6</w:t>
            </w:r>
          </w:p>
        </w:tc>
        <w:tc>
          <w:tcPr/>
          <w:p>
            <w:pPr>
              <w:pStyle w:val="Compact"/>
              <w:jc w:val="right"/>
            </w:pPr>
            <w:r>
              <w:t xml:space="preserve">+1.00</w:t>
            </w:r>
          </w:p>
        </w:tc>
      </w:tr>
      <w:tr>
        <w:tc>
          <w:tcPr/>
          <w:p>
            <w:pPr>
              <w:pStyle w:val="Compact"/>
            </w:pPr>
            <w:r>
              <w:t xml:space="preserve">aligned_failure</w:t>
            </w:r>
          </w:p>
        </w:tc>
        <w:tc>
          <w:tcPr/>
          <w:p>
            <w:pPr>
              <w:pStyle w:val="Compact"/>
              <w:jc w:val="right"/>
            </w:pPr>
            <w:r>
              <w:t xml:space="preserve">0 / 4</w:t>
            </w:r>
          </w:p>
        </w:tc>
        <w:tc>
          <w:tcPr/>
          <w:p>
            <w:pPr>
              <w:pStyle w:val="Compact"/>
              <w:jc w:val="right"/>
            </w:pPr>
            <w:r>
              <w:t xml:space="preserve">4 / 4</w:t>
            </w:r>
          </w:p>
        </w:tc>
        <w:tc>
          <w:tcPr/>
          <w:p>
            <w:pPr>
              <w:pStyle w:val="Compact"/>
              <w:jc w:val="right"/>
            </w:pPr>
            <w:r>
              <w:t xml:space="preserve">+4</w:t>
            </w:r>
          </w:p>
        </w:tc>
        <w:tc>
          <w:tcPr/>
          <w:p>
            <w:pPr>
              <w:pStyle w:val="Compact"/>
              <w:jc w:val="right"/>
            </w:pPr>
            <w:r>
              <w:t xml:space="preserve">+1.00</w:t>
            </w:r>
          </w:p>
        </w:tc>
      </w:tr>
      <w:tr>
        <w:tc>
          <w:tcPr/>
          <w:p>
            <w:pPr>
              <w:pStyle w:val="Compact"/>
            </w:pPr>
            <w:r>
              <w:t xml:space="preserve">mixed_first20</w:t>
            </w:r>
          </w:p>
        </w:tc>
        <w:tc>
          <w:tcPr/>
          <w:p>
            <w:pPr>
              <w:pStyle w:val="Compact"/>
              <w:jc w:val="right"/>
            </w:pPr>
            <w:r>
              <w:t xml:space="preserve">0 / 20</w:t>
            </w:r>
          </w:p>
        </w:tc>
        <w:tc>
          <w:tcPr/>
          <w:p>
            <w:pPr>
              <w:pStyle w:val="Compact"/>
              <w:jc w:val="right"/>
            </w:pPr>
            <w:r>
              <w:t xml:space="preserve">3 / 20</w:t>
            </w:r>
          </w:p>
        </w:tc>
        <w:tc>
          <w:tcPr/>
          <w:p>
            <w:pPr>
              <w:pStyle w:val="Compact"/>
              <w:jc w:val="right"/>
            </w:pPr>
            <w:r>
              <w:t xml:space="preserve">+3</w:t>
            </w:r>
          </w:p>
        </w:tc>
        <w:tc>
          <w:tcPr/>
          <w:p>
            <w:pPr>
              <w:pStyle w:val="Compact"/>
              <w:jc w:val="right"/>
            </w:pPr>
            <w:r>
              <w:t xml:space="preserve">+0.15</w:t>
            </w:r>
          </w:p>
        </w:tc>
      </w:tr>
      <w:tr>
        <w:tc>
          <w:tcPr/>
          <w:p>
            <w:pPr>
              <w:pStyle w:val="Compact"/>
            </w:pPr>
            <w:r>
              <w:t xml:space="preserve">mixed_random20</w:t>
            </w:r>
          </w:p>
        </w:tc>
        <w:tc>
          <w:tcPr/>
          <w:p>
            <w:pPr>
              <w:pStyle w:val="Compact"/>
              <w:jc w:val="right"/>
            </w:pPr>
            <w:r>
              <w:t xml:space="preserve">0 / 20</w:t>
            </w:r>
          </w:p>
        </w:tc>
        <w:tc>
          <w:tcPr/>
          <w:p>
            <w:pPr>
              <w:pStyle w:val="Compact"/>
              <w:jc w:val="right"/>
            </w:pPr>
            <w:r>
              <w:t xml:space="preserve">12 / 20</w:t>
            </w:r>
          </w:p>
        </w:tc>
        <w:tc>
          <w:tcPr/>
          <w:p>
            <w:pPr>
              <w:pStyle w:val="Compact"/>
              <w:jc w:val="right"/>
            </w:pPr>
            <w:r>
              <w:t xml:space="preserve">+12</w:t>
            </w:r>
          </w:p>
        </w:tc>
        <w:tc>
          <w:tcPr/>
          <w:p>
            <w:pPr>
              <w:pStyle w:val="Compact"/>
              <w:jc w:val="right"/>
            </w:pPr>
            <w:r>
              <w:t xml:space="preserve">+0.60</w:t>
            </w:r>
          </w:p>
        </w:tc>
      </w:tr>
      <w:tr>
        <w:tc>
          <w:tcPr/>
          <w:p>
            <w:pPr>
              <w:pStyle w:val="Compact"/>
            </w:pPr>
            <w:r>
              <w:rPr>
                <w:b/>
                <w:bCs/>
              </w:rPr>
              <w:t xml:space="preserve">Overall</w:t>
            </w:r>
          </w:p>
        </w:tc>
        <w:tc>
          <w:tcPr/>
          <w:p>
            <w:pPr>
              <w:pStyle w:val="Compact"/>
              <w:jc w:val="right"/>
            </w:pPr>
            <w:r>
              <w:rPr>
                <w:b/>
                <w:bCs/>
              </w:rPr>
              <w:t xml:space="preserve">0 / 60</w:t>
            </w:r>
          </w:p>
        </w:tc>
        <w:tc>
          <w:tcPr/>
          <w:p>
            <w:pPr>
              <w:pStyle w:val="Compact"/>
              <w:jc w:val="right"/>
            </w:pPr>
            <w:r>
              <w:rPr>
                <w:b/>
                <w:bCs/>
              </w:rPr>
              <w:t xml:space="preserve">25 / 60</w:t>
            </w:r>
          </w:p>
        </w:tc>
        <w:tc>
          <w:tcPr/>
          <w:p>
            <w:pPr>
              <w:pStyle w:val="Compact"/>
              <w:jc w:val="right"/>
            </w:pPr>
            <w:r>
              <w:rPr>
                <w:b/>
                <w:bCs/>
              </w:rPr>
              <w:t xml:space="preserve">+25</w:t>
            </w:r>
          </w:p>
        </w:tc>
        <w:tc>
          <w:tcPr/>
          <w:p>
            <w:pPr>
              <w:pStyle w:val="Compact"/>
              <w:jc w:val="right"/>
            </w:pPr>
            <w:r>
              <w:rPr>
                <w:b/>
                <w:bCs/>
              </w:rPr>
              <w:t xml:space="preserve">+0.4167</w:t>
            </w:r>
          </w:p>
        </w:tc>
      </w:tr>
    </w:tbl>
    <w:p>
      <w:pPr>
        <w:pStyle w:val="BodyText"/>
      </w:pPr>
      <w:r>
        <w:rPr>
          <w:b/>
          <w:bCs/>
        </w:rPr>
        <w:t xml:space="preserve">Finding (RQ1):</w:t>
      </w:r>
      <w:r>
        <w:t xml:space="preserve"> </w:t>
      </w:r>
      <w:r>
        <w:t xml:space="preserve">Cross-discipline validation adds 25 blocked scenarios (+41.7%) that single-domain calculations cannot detect. Boundary and failure subsets achieve perfect blocking (1.0). Zero false positives on standard-aligned cases.</w:t>
      </w:r>
    </w:p>
    <w:p>
      <w:pPr>
        <w:pStyle w:val="BodyText"/>
      </w:pPr>
      <w:r>
        <w:t xml:space="preserve">The baseline (validator OFF) blocking rate of 0/60 requires explanation. The 60 ablation scenarios were specifically designed to test</w:t>
      </w:r>
      <w:r>
        <w:t xml:space="preserve"> </w:t>
      </w:r>
      <w:r>
        <w:rPr>
          <w:i/>
          <w:iCs/>
        </w:rPr>
        <w:t xml:space="preserve">inter-discipline coupling</w:t>
      </w:r>
      <w:r>
        <w:t xml:space="preserve"> </w:t>
      </w:r>
      <w:r>
        <w:t xml:space="preserve">hazards — e.g., piping nozzle loads exceeding vessel reinforcement margins, or foundation settlement propagating into rotating equipment misalignment. Each individual discipline’s Layer 3 physics checks pass because the inputs are within single-domain tolerances; it is only the</w:t>
      </w:r>
      <w:r>
        <w:t xml:space="preserve"> </w:t>
      </w:r>
      <w:r>
        <w:rPr>
          <w:i/>
          <w:iCs/>
        </w:rPr>
        <w:t xml:space="preserve">combination</w:t>
      </w:r>
      <w:r>
        <w:t xml:space="preserve"> </w:t>
      </w:r>
      <w:r>
        <w:t xml:space="preserve">across domain boundaries that creates a hazardous condition. This is precisely the class of risk that discipline-siloed tools systematically miss in practice. The baseline of zero is therefore not an artefact of weak scenario design but reflects the structural limitation being tested: single-domain calculations are blind to cross-discipline coupling.</w:t>
      </w:r>
    </w:p>
    <w:bookmarkEnd w:id="41"/>
    <w:bookmarkStart w:id="42" w:name="kosha-rag-retrieval-benchmark-rq2"/>
    <w:p>
      <w:pPr>
        <w:pStyle w:val="Heading3"/>
      </w:pPr>
      <w:r>
        <w:t xml:space="preserve">7.4. KOSHA RAG retrieval benchmark (RQ2)</w:t>
      </w:r>
    </w:p>
    <w:p>
      <w:pPr>
        <w:pStyle w:val="FirstParagraph"/>
      </w:pPr>
      <w:r>
        <w:t xml:space="preserve">The benchmark comprises 50 queries organised as five regulatory target groups (10 queries each), where each group targets a specific KOSHA guide or statutory provision relevant to the three manuscript case studies: M-69-2012 (remaining life assessment), C-C-23-2026 (RBI regulation), B-M-18-2026 (piping life management), C-C-75-2026 (corrosion risk assessment), and Article 256 (corrosion prevention). Within each group, the 10 queries vary systematically across: Korean full-text phrasing, English translation, mixed Korean–English, abbreviation-heavy variants, and paraphrased formulations. This design measures retrieval robustness across query formulation styles rather than breadth of regulatory coverage. The query set is released for independent inspection.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Plain FTS</w:t>
            </w:r>
          </w:p>
        </w:tc>
        <w:tc>
          <w:tcPr/>
          <w:p>
            <w:pPr>
              <w:pStyle w:val="Compact"/>
              <w:jc w:val="right"/>
            </w:pPr>
            <w:r>
              <w:t xml:space="preserve">Enhanced FTS</w:t>
            </w:r>
          </w:p>
        </w:tc>
        <w:tc>
          <w:tcPr/>
          <w:p>
            <w:pPr>
              <w:pStyle w:val="Compact"/>
              <w:jc w:val="right"/>
            </w:pPr>
            <w:r>
              <w:t xml:space="preserve">Delta</w:t>
            </w:r>
          </w:p>
        </w:tc>
      </w:tr>
      <w:tr>
        <w:tc>
          <w:tcPr/>
          <w:p>
            <w:pPr>
              <w:pStyle w:val="Compact"/>
            </w:pPr>
            <w:r>
              <w:t xml:space="preserve">Recall@1</w:t>
            </w:r>
          </w:p>
        </w:tc>
        <w:tc>
          <w:tcPr/>
          <w:p>
            <w:pPr>
              <w:pStyle w:val="Compact"/>
              <w:jc w:val="right"/>
            </w:pPr>
            <w:r>
              <w:t xml:space="preserve">0.44</w:t>
            </w:r>
          </w:p>
        </w:tc>
        <w:tc>
          <w:tcPr/>
          <w:p>
            <w:pPr>
              <w:pStyle w:val="Compact"/>
              <w:jc w:val="right"/>
            </w:pPr>
            <w:r>
              <w:t xml:space="preserve">0.74</w:t>
            </w:r>
          </w:p>
        </w:tc>
        <w:tc>
          <w:tcPr/>
          <w:p>
            <w:pPr>
              <w:pStyle w:val="Compact"/>
              <w:jc w:val="right"/>
            </w:pPr>
            <w:r>
              <w:t xml:space="preserve">+0.30</w:t>
            </w:r>
          </w:p>
        </w:tc>
      </w:tr>
      <w:tr>
        <w:tc>
          <w:tcPr/>
          <w:p>
            <w:pPr>
              <w:pStyle w:val="Compact"/>
            </w:pPr>
            <w:r>
              <w:t xml:space="preserve">Recall@3</w:t>
            </w:r>
          </w:p>
        </w:tc>
        <w:tc>
          <w:tcPr/>
          <w:p>
            <w:pPr>
              <w:pStyle w:val="Compact"/>
              <w:jc w:val="right"/>
            </w:pPr>
            <w:r>
              <w:t xml:space="preserve">0.74</w:t>
            </w:r>
          </w:p>
        </w:tc>
        <w:tc>
          <w:tcPr/>
          <w:p>
            <w:pPr>
              <w:pStyle w:val="Compact"/>
              <w:jc w:val="right"/>
            </w:pPr>
            <w:r>
              <w:t xml:space="preserve">0.86</w:t>
            </w:r>
          </w:p>
        </w:tc>
        <w:tc>
          <w:tcPr/>
          <w:p>
            <w:pPr>
              <w:pStyle w:val="Compact"/>
              <w:jc w:val="right"/>
            </w:pPr>
            <w:r>
              <w:t xml:space="preserve">+0.12</w:t>
            </w:r>
          </w:p>
        </w:tc>
      </w:tr>
      <w:tr>
        <w:tc>
          <w:tcPr/>
          <w:p>
            <w:pPr>
              <w:pStyle w:val="Compact"/>
            </w:pPr>
            <w:r>
              <w:t xml:space="preserve">Recall@5</w:t>
            </w:r>
          </w:p>
        </w:tc>
        <w:tc>
          <w:tcPr/>
          <w:p>
            <w:pPr>
              <w:pStyle w:val="Compact"/>
              <w:jc w:val="right"/>
            </w:pPr>
            <w:r>
              <w:t xml:space="preserve">0.74</w:t>
            </w:r>
          </w:p>
        </w:tc>
        <w:tc>
          <w:tcPr/>
          <w:p>
            <w:pPr>
              <w:pStyle w:val="Compact"/>
              <w:jc w:val="right"/>
            </w:pPr>
            <w:r>
              <w:t xml:space="preserve">0.86</w:t>
            </w:r>
          </w:p>
        </w:tc>
        <w:tc>
          <w:tcPr/>
          <w:p>
            <w:pPr>
              <w:pStyle w:val="Compact"/>
              <w:jc w:val="right"/>
            </w:pPr>
            <w:r>
              <w:t xml:space="preserve">+0.12</w:t>
            </w:r>
          </w:p>
        </w:tc>
      </w:tr>
      <w:tr>
        <w:tc>
          <w:tcPr/>
          <w:p>
            <w:pPr>
              <w:pStyle w:val="Compact"/>
            </w:pPr>
            <w:r>
              <w:t xml:space="preserve">MRR@10</w:t>
            </w:r>
          </w:p>
        </w:tc>
        <w:tc>
          <w:tcPr/>
          <w:p>
            <w:pPr>
              <w:pStyle w:val="Compact"/>
              <w:jc w:val="right"/>
            </w:pPr>
            <w:r>
              <w:t xml:space="preserve">0.5744</w:t>
            </w:r>
          </w:p>
        </w:tc>
        <w:tc>
          <w:tcPr/>
          <w:p>
            <w:pPr>
              <w:pStyle w:val="Compact"/>
              <w:jc w:val="right"/>
            </w:pPr>
            <w:r>
              <w:t xml:space="preserve">0.7933</w:t>
            </w:r>
          </w:p>
        </w:tc>
        <w:tc>
          <w:tcPr/>
          <w:p>
            <w:pPr>
              <w:pStyle w:val="Compact"/>
              <w:jc w:val="right"/>
            </w:pPr>
            <w:r>
              <w:t xml:space="preserve">+0.2189</w:t>
            </w:r>
          </w:p>
        </w:tc>
      </w:tr>
    </w:tbl>
    <w:p>
      <w:pPr>
        <w:pStyle w:val="BodyText"/>
      </w:pPr>
      <w:r>
        <w:t xml:space="preserve">Concept-aware synonym expansion yields +68% relative improvement in Recall@1 and +38% relative improvement in MRR@10.</w:t>
      </w:r>
    </w:p>
    <w:bookmarkEnd w:id="42"/>
    <w:bookmarkStart w:id="43" w:name="X9828da0252d6052254daa5887ca240f57b6d75a"/>
    <w:p>
      <w:pPr>
        <w:pStyle w:val="Heading3"/>
      </w:pPr>
      <w:r>
        <w:t xml:space="preserve">7.5. Jurisdiction compliance gap case studies (RQ2)</w:t>
      </w:r>
    </w:p>
    <w:p>
      <w:pPr>
        <w:pStyle w:val="FirstParagraph"/>
      </w:pPr>
      <w:r>
        <w:t xml:space="preserve">Three cases were selected to illustrate distinct gap types that map to documented accident pathways in Korean process plants: (1) a long-remaining-life vessel where KOSHA documentation obligations are triggered but invisible to ASME/API calculations — relevant because undocumented equipment conditions have contributed to delayed inspection failures; (2) a vessel where KOSHA-mandated RBI review triggers apply but API 510 scheduling does not capture them — relevant because missed RBI triggers are a known contributor to inspection programme gaps; and (3) a corrosive-service piping system where Article 256 corrosion-prevention controls apply despite full ASME B31.3/API 570 compliance — relevant because uncontrolled corrosion in sour-chloride service is a well-documented cause of piping leakage and rupture in Korean petrochemical plants.</w:t>
      </w:r>
    </w:p>
    <w:p>
      <w:pPr>
        <w:pStyle w:val="BodyText"/>
      </w:pPr>
      <w:r>
        <w:rPr>
          <w:b/>
          <w:bCs/>
        </w:rPr>
        <w:t xml:space="preserve">Case 1 — VES-GOLD-001 (Vessel Remaining Life).</w:t>
      </w:r>
      <w:r>
        <w:t xml:space="preserve"> </w:t>
      </w:r>
      <w:r>
        <w:t xml:space="preserve">SA-516-70 vessel, 1.858 MPa, 217.3 °C, current thickness 44.82 mm. Calculation: required thickness 14.99 mm (ASME VIII UG-27), remaining life 136.3 years, inspection interval 10 years (API 510). No red flags.</w:t>
      </w:r>
      <w:r>
        <w:t xml:space="preserve"> </w:t>
      </w:r>
      <w:r>
        <w:rPr>
          <w:b/>
          <w:bCs/>
        </w:rPr>
        <w:t xml:space="preserve">KOSHA RAG retrieves</w:t>
      </w:r>
      <w:r>
        <w:t xml:space="preserve">: M-69-2012 (Technical Guideline for Remaining Life Assessment) — documentation requirements triggered when RL exceeds threshold.</w:t>
      </w:r>
      <w:r>
        <w:t xml:space="preserve"> </w:t>
      </w:r>
      <w:r>
        <w:rPr>
          <w:i/>
          <w:iCs/>
        </w:rPr>
        <w:t xml:space="preserve">Gap: ASME/API do not encode this documentation obligation.</w:t>
      </w:r>
    </w:p>
    <w:p>
      <w:pPr>
        <w:pStyle w:val="BodyText"/>
      </w:pPr>
      <w:r>
        <w:rPr>
          <w:b/>
          <w:bCs/>
        </w:rPr>
        <w:t xml:space="preserve">Case 2 — VES-GOLD-009 (RBI Planning).</w:t>
      </w:r>
      <w:r>
        <w:t xml:space="preserve"> </w:t>
      </w:r>
      <w:r>
        <w:t xml:space="preserve">SA-516-70 vessel, 1.891 MPa, 241.9 °C, remaining life 40.2 years. API 510 recommends 10-year inspection.</w:t>
      </w:r>
      <w:r>
        <w:t xml:space="preserve"> </w:t>
      </w:r>
      <w:r>
        <w:rPr>
          <w:b/>
          <w:bCs/>
        </w:rPr>
        <w:t xml:space="preserve">KOSHA RAG retrieves</w:t>
      </w:r>
      <w:r>
        <w:t xml:space="preserve">: C-C-23-2026 (RBI Technical Regulation) — mandatory RBI review trigger conditions under Korean PSM.</w:t>
      </w:r>
      <w:r>
        <w:t xml:space="preserve"> </w:t>
      </w:r>
      <w:r>
        <w:rPr>
          <w:i/>
          <w:iCs/>
        </w:rPr>
        <w:t xml:space="preserve">Gap: API 510 inspection scheduling does not address KOSHA mandatory review triggers.</w:t>
      </w:r>
    </w:p>
    <w:p>
      <w:pPr>
        <w:pStyle w:val="BodyText"/>
      </w:pPr>
      <w:r>
        <w:rPr>
          <w:b/>
          <w:bCs/>
        </w:rPr>
        <w:t xml:space="preserve">Case 3 — PIP-GOLD-047 (Piping Corrosion Compliance).</w:t>
      </w:r>
      <w:r>
        <w:t xml:space="preserve"> </w:t>
      </w:r>
      <w:r>
        <w:t xml:space="preserve">SA-106 Gr.B carbon steel, sour-chloride service, 7.804 MPa, 196 °C, 200 ppm Cl-. Remaining life 14.0 years. ASME B31.3 and API 570 fully satisfied.</w:t>
      </w:r>
      <w:r>
        <w:t xml:space="preserve"> </w:t>
      </w:r>
      <w:r>
        <w:rPr>
          <w:b/>
          <w:bCs/>
        </w:rPr>
        <w:t xml:space="preserve">KOSHA RAG retrieves</w:t>
      </w:r>
      <w:r>
        <w:t xml:space="preserve">: Article 256 of the Rules on Occupational Safety and Health Standards (</w:t>
      </w:r>
      <w:r>
        <w:rPr>
          <w:rStyle w:val="VerbatimChar"/>
        </w:rPr>
        <w:t xml:space="preserve">산업안전보건기준에 관한 규칙</w:t>
      </w:r>
      <w:r>
        <w:t xml:space="preserve">) — corrosion-prevention control obligations.</w:t>
      </w:r>
      <w:r>
        <w:t xml:space="preserve"> </w:t>
      </w:r>
      <w:r>
        <w:rPr>
          <w:i/>
          <w:iCs/>
        </w:rPr>
        <w:t xml:space="preserve">Gap: ASME B31.3 and API 570 define how to calculate corrosion allowance and remaining life, but do not impose the obligation to establish corrosion-prevention controls that Article 256 requires.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jc w:val="right"/>
            </w:pPr>
            <w:r>
              <w:t xml:space="preserve">Code-Only</w:t>
            </w:r>
          </w:p>
        </w:tc>
        <w:tc>
          <w:tcPr/>
          <w:p>
            <w:pPr>
              <w:pStyle w:val="Compact"/>
              <w:jc w:val="right"/>
            </w:pPr>
            <w:r>
              <w:t xml:space="preserve">RAG Detected</w:t>
            </w:r>
          </w:p>
        </w:tc>
        <w:tc>
          <w:tcPr/>
          <w:p>
            <w:pPr>
              <w:pStyle w:val="Compact"/>
            </w:pPr>
            <w:r>
              <w:t xml:space="preserve">Key Gap</w:t>
            </w:r>
          </w:p>
        </w:tc>
      </w:tr>
      <w:tr>
        <w:tc>
          <w:tcPr/>
          <w:p>
            <w:pPr>
              <w:pStyle w:val="Compact"/>
            </w:pPr>
            <w:r>
              <w:t xml:space="preserve">VES-GOLD-001</w:t>
            </w:r>
          </w:p>
        </w:tc>
        <w:tc>
          <w:tcPr/>
          <w:p>
            <w:pPr>
              <w:pStyle w:val="Compact"/>
              <w:jc w:val="right"/>
            </w:pPr>
            <w:r>
              <w:t xml:space="preserve">0</w:t>
            </w:r>
          </w:p>
        </w:tc>
        <w:tc>
          <w:tcPr/>
          <w:p>
            <w:pPr>
              <w:pStyle w:val="Compact"/>
              <w:jc w:val="right"/>
            </w:pPr>
            <w:r>
              <w:t xml:space="preserve">1</w:t>
            </w:r>
          </w:p>
        </w:tc>
        <w:tc>
          <w:tcPr/>
          <w:p>
            <w:pPr>
              <w:pStyle w:val="Compact"/>
            </w:pPr>
            <w:r>
              <w:t xml:space="preserve">RL documentation per M-69-2012</w:t>
            </w:r>
          </w:p>
        </w:tc>
      </w:tr>
      <w:tr>
        <w:tc>
          <w:tcPr/>
          <w:p>
            <w:pPr>
              <w:pStyle w:val="Compact"/>
            </w:pPr>
            <w:r>
              <w:t xml:space="preserve">VES-GOLD-009</w:t>
            </w:r>
          </w:p>
        </w:tc>
        <w:tc>
          <w:tcPr/>
          <w:p>
            <w:pPr>
              <w:pStyle w:val="Compact"/>
              <w:jc w:val="right"/>
            </w:pPr>
            <w:r>
              <w:t xml:space="preserve">0</w:t>
            </w:r>
          </w:p>
        </w:tc>
        <w:tc>
          <w:tcPr/>
          <w:p>
            <w:pPr>
              <w:pStyle w:val="Compact"/>
              <w:jc w:val="right"/>
            </w:pPr>
            <w:r>
              <w:t xml:space="preserve">1</w:t>
            </w:r>
          </w:p>
        </w:tc>
        <w:tc>
          <w:tcPr/>
          <w:p>
            <w:pPr>
              <w:pStyle w:val="Compact"/>
            </w:pPr>
            <w:r>
              <w:t xml:space="preserve">RBI trigger per C-C-23-2026</w:t>
            </w:r>
          </w:p>
        </w:tc>
      </w:tr>
      <w:tr>
        <w:tc>
          <w:tcPr/>
          <w:p>
            <w:pPr>
              <w:pStyle w:val="Compact"/>
            </w:pPr>
            <w:r>
              <w:t xml:space="preserve">PIP-GOLD-047</w:t>
            </w:r>
          </w:p>
        </w:tc>
        <w:tc>
          <w:tcPr/>
          <w:p>
            <w:pPr>
              <w:pStyle w:val="Compact"/>
              <w:jc w:val="right"/>
            </w:pPr>
            <w:r>
              <w:t xml:space="preserve">0</w:t>
            </w:r>
          </w:p>
        </w:tc>
        <w:tc>
          <w:tcPr/>
          <w:p>
            <w:pPr>
              <w:pStyle w:val="Compact"/>
              <w:jc w:val="right"/>
            </w:pPr>
            <w:r>
              <w:t xml:space="preserve">1</w:t>
            </w:r>
          </w:p>
        </w:tc>
        <w:tc>
          <w:tcPr/>
          <w:p>
            <w:pPr>
              <w:pStyle w:val="Compact"/>
            </w:pPr>
            <w:r>
              <w:t xml:space="preserve">Corrosion prevention per Article 256</w:t>
            </w:r>
          </w:p>
        </w:tc>
      </w:tr>
      <w:tr>
        <w:tc>
          <w:tcPr/>
          <w:p>
            <w:pPr>
              <w:pStyle w:val="Compact"/>
            </w:pPr>
            <w:r>
              <w:rPr>
                <w:b/>
                <w:bCs/>
              </w:rPr>
              <w:t xml:space="preserve">Total</w:t>
            </w:r>
          </w:p>
        </w:tc>
        <w:tc>
          <w:tcPr/>
          <w:p>
            <w:pPr>
              <w:pStyle w:val="Compact"/>
              <w:jc w:val="right"/>
            </w:pPr>
            <w:r>
              <w:rPr>
                <w:b/>
                <w:bCs/>
              </w:rPr>
              <w:t xml:space="preserve">0 / 3</w:t>
            </w:r>
          </w:p>
        </w:tc>
        <w:tc>
          <w:tcPr/>
          <w:p>
            <w:pPr>
              <w:pStyle w:val="Compact"/>
              <w:jc w:val="right"/>
            </w:pPr>
            <w:r>
              <w:rPr>
                <w:b/>
                <w:bCs/>
              </w:rPr>
              <w:t xml:space="preserve">3 / 3</w:t>
            </w:r>
          </w:p>
        </w:tc>
        <w:tc>
          <w:tcPr/>
          <w:p>
            <w:pPr>
              <w:pStyle w:val="Compact"/>
            </w:pPr>
          </w:p>
        </w:tc>
      </w:tr>
    </w:tbl>
    <w:p>
      <w:pPr>
        <w:pStyle w:val="BodyText"/>
      </w:pPr>
      <w:r>
        <w:rPr>
          <w:b/>
          <w:bCs/>
        </w:rPr>
        <w:t xml:space="preserve">Finding (RQ2):</w:t>
      </w:r>
      <w:r>
        <w:t xml:space="preserve"> </w:t>
      </w:r>
      <w:r>
        <w:t xml:space="preserve">In all three tested case studies, the KOSHA RAG layer identified jurisdiction-specific compliance requirements that code-only calculations structurally miss. The code-only baseline identified none. While the case-study set is small and curated, the results illustrate the structural nature of the jurisdiction compliance gap: international code calculations are not designed to encode national regulatory obligations, so these omissions are systematic rather than incidental.</w:t>
      </w:r>
    </w:p>
    <w:p>
      <w:r>
        <w:pict>
          <v:rect style="width:0;height:1.5pt" o:hralign="center" o:hrstd="t" o:hr="t"/>
        </w:pict>
      </w:r>
    </w:p>
    <w:bookmarkEnd w:id="43"/>
    <w:bookmarkEnd w:id="44"/>
    <w:bookmarkStart w:id="50" w:name="discussion"/>
    <w:p>
      <w:pPr>
        <w:pStyle w:val="Heading2"/>
      </w:pPr>
      <w:r>
        <w:t xml:space="preserve">8. Discussion</w:t>
      </w:r>
    </w:p>
    <w:p>
      <w:pPr>
        <w:pStyle w:val="FirstParagraph"/>
      </w:pPr>
      <w:r>
        <w:t xml:space="preserve">It is important to clarify the scope of this contribution. This system is not a replacement for detailed engineering design by qualified professionals, nor does it claim to reproduce project-specific plant design outcomes. Rather, it is a</w:t>
      </w:r>
      <w:r>
        <w:t xml:space="preserve"> </w:t>
      </w:r>
      <w:r>
        <w:rPr>
          <w:b/>
          <w:bCs/>
        </w:rPr>
        <w:t xml:space="preserve">verification layer</w:t>
      </w:r>
      <w:r>
        <w:t xml:space="preserve"> </w:t>
      </w:r>
      <w:r>
        <w:t xml:space="preserve">that screens for two classes of risk that conventional code-centric workflows structurally miss: jurisdiction-specific regulatory omissions and cross-discipline coupling hazards. In process safety terms, the value proposition is not</w:t>
      </w:r>
      <w:r>
        <w:t xml:space="preserve"> </w:t>
      </w:r>
      <w:r>
        <w:t xml:space="preserve">“more accurate calculation”</w:t>
      </w:r>
      <w:r>
        <w:t xml:space="preserve"> </w:t>
      </w:r>
      <w:r>
        <w:t xml:space="preserve">but</w:t>
      </w:r>
      <w:r>
        <w:t xml:space="preserve"> </w:t>
      </w:r>
      <w:r>
        <w:t xml:space="preserve">“fewer overlooked compliance obligations and inter-discipline blind spots.”</w:t>
      </w:r>
    </w:p>
    <w:bookmarkStart w:id="45" w:name="X3ad76e75bd4306683b983fc99bfcab6b4e76533"/>
    <w:p>
      <w:pPr>
        <w:pStyle w:val="Heading3"/>
      </w:pPr>
      <w:r>
        <w:t xml:space="preserve">8.1. Practical significance of jurisdiction compliance gaps</w:t>
      </w:r>
    </w:p>
    <w:p>
      <w:pPr>
        <w:pStyle w:val="FirstParagraph"/>
      </w:pPr>
      <w:r>
        <w:t xml:space="preserve">The jurisdiction compliance gap has direct consequences across the plant lifecycle:</w:t>
      </w:r>
    </w:p>
    <w:p>
      <w:pPr>
        <w:pStyle w:val="Compact"/>
        <w:numPr>
          <w:ilvl w:val="0"/>
          <w:numId w:val="1006"/>
        </w:numPr>
      </w:pPr>
      <w:r>
        <w:rPr>
          <w:b/>
          <w:bCs/>
        </w:rPr>
        <w:t xml:space="preserve">Design phase</w:t>
      </w:r>
      <w:r>
        <w:t xml:space="preserve">: Calculation packages satisfying ASME/API deliverables may miss KOSHA documentation obligations, creating audit risk.</w:t>
      </w:r>
    </w:p>
    <w:p>
      <w:pPr>
        <w:pStyle w:val="Compact"/>
        <w:numPr>
          <w:ilvl w:val="0"/>
          <w:numId w:val="1006"/>
        </w:numPr>
      </w:pPr>
      <w:r>
        <w:rPr>
          <w:b/>
          <w:bCs/>
        </w:rPr>
        <w:t xml:space="preserve">Construction phase</w:t>
      </w:r>
      <w:r>
        <w:t xml:space="preserve">: Commissioning based solely on international codes may skip Korean regulatory steps.</w:t>
      </w:r>
    </w:p>
    <w:p>
      <w:pPr>
        <w:pStyle w:val="Compact"/>
        <w:numPr>
          <w:ilvl w:val="0"/>
          <w:numId w:val="1006"/>
        </w:numPr>
      </w:pPr>
      <w:r>
        <w:rPr>
          <w:b/>
          <w:bCs/>
        </w:rPr>
        <w:t xml:space="preserve">Operation phase</w:t>
      </w:r>
      <w:r>
        <w:t xml:space="preserve">: Inspection programs following API 510/570 may not satisfy KOSHA-mandated review triggers.</w:t>
      </w:r>
    </w:p>
    <w:p>
      <w:pPr>
        <w:pStyle w:val="FirstParagraph"/>
      </w:pPr>
      <w:r>
        <w:t xml:space="preserve">The cost of detecting these gaps at the calculation stage is negligible (a RAG query). The cost of detecting them at regulatory audit—or after an incident—can be severe.</w:t>
      </w:r>
    </w:p>
    <w:bookmarkEnd w:id="45"/>
    <w:bookmarkStart w:id="46" w:name="Xbc553cc83db199bbf1fd1525cd5dfc991aa22da"/>
    <w:p>
      <w:pPr>
        <w:pStyle w:val="Heading3"/>
      </w:pPr>
      <w:r>
        <w:t xml:space="preserve">8.2. K-voting consensus as a verification strategy</w:t>
      </w:r>
    </w:p>
    <w:p>
      <w:pPr>
        <w:pStyle w:val="FirstParagraph"/>
      </w:pPr>
      <w:r>
        <w:t xml:space="preserve">The K-voting layer serves a different purpose than traditional software testing. It detects the class of bugs where a single implementation appears correct but produces numerically inconsistent results due to rounding, interpolation, or precision choices. In engineering calculations where small differences can cross regulatory thresholds, this class of error is practically significant.</w:t>
      </w:r>
    </w:p>
    <w:bookmarkEnd w:id="46"/>
    <w:bookmarkStart w:id="47" w:name="X11c823c22e41aad3e5dc0d63a02ab4d00738f40"/>
    <w:p>
      <w:pPr>
        <w:pStyle w:val="Heading3"/>
      </w:pPr>
      <w:r>
        <w:t xml:space="preserve">8.3. Cross-discipline coupling as safety contribution</w:t>
      </w:r>
    </w:p>
    <w:p>
      <w:pPr>
        <w:pStyle w:val="FirstParagraph"/>
      </w:pPr>
      <w:r>
        <w:t xml:space="preserve">The 25 additional blocked scenarios represent coupling hazards that no single-domain tool would flag. In practice, these correspond to failure modes such as: piping nozzle overload degrading rotating equipment bearings; foundation settlement causing rotating equipment misalignment; electrical harmonics affecting instrumentation. These are documented accident pathways in plant engineering.</w:t>
      </w:r>
    </w:p>
    <w:bookmarkEnd w:id="47"/>
    <w:bookmarkStart w:id="48" w:name="comparison-with-conventional-workflows"/>
    <w:p>
      <w:pPr>
        <w:pStyle w:val="Heading3"/>
      </w:pPr>
      <w:r>
        <w:t xml:space="preserve">8.4. Comparison with conventional workflows</w:t>
      </w:r>
    </w:p>
    <w:p>
      <w:pPr>
        <w:pStyle w:val="FirstParagraph"/>
      </w:pPr>
      <w:r>
        <w:t xml:space="preserve">It is important to acknowledge that the baselines in this study are internal ablations (validator on/off, plain vs enhanced FTS) rather than comparisons against external industrial tools or manual review processes. In conventional Korean EPC practice, KOSHA compliance is typically checked through a manual regulatory checklist maintained by the plant owner’s PSM team, applied</w:t>
      </w:r>
      <w:r>
        <w:t xml:space="preserve"> </w:t>
      </w:r>
      <w:r>
        <w:rPr>
          <w:i/>
          <w:iCs/>
        </w:rPr>
        <w:t xml:space="preserve">after</w:t>
      </w:r>
      <w:r>
        <w:t xml:space="preserve"> </w:t>
      </w:r>
      <w:r>
        <w:t xml:space="preserve">engineering calculations are complete and often</w:t>
      </w:r>
      <w:r>
        <w:t xml:space="preserve"> </w:t>
      </w:r>
      <w:r>
        <w:rPr>
          <w:i/>
          <w:iCs/>
        </w:rPr>
        <w:t xml:space="preserve">after</w:t>
      </w:r>
      <w:r>
        <w:t xml:space="preserve"> </w:t>
      </w:r>
      <w:r>
        <w:t xml:space="preserve">project handover. The proposed system differs in that it integrates regulatory screening into the calculation stage itself. However, a formal comparison — for instance, measuring detection rates of a manual KOSHA checklist review vs the automated RAG layer on the same case set — has not been performed and would require practitioner participation. Such a comparison is a priority for future field pilot studies and would substantially strengthen the evidence base.</w:t>
      </w:r>
    </w:p>
    <w:bookmarkEnd w:id="48"/>
    <w:bookmarkStart w:id="49" w:name="limitations-of-the-evaluation"/>
    <w:p>
      <w:pPr>
        <w:pStyle w:val="Heading3"/>
      </w:pPr>
      <w:r>
        <w:t xml:space="preserve">8.5. Limitations of the evaluation</w:t>
      </w:r>
    </w:p>
    <w:p>
      <w:pPr>
        <w:pStyle w:val="FirstParagraph"/>
      </w:pPr>
      <w:r>
        <w:t xml:space="preserve">The golden dataset is entirely synthetic. The retrieval benchmark is curated. The three case studies are illustrative rather than exhaustive. These limitations are inherent to a first-generation proof-of-feasibility system paper and are addressed in Section 9.</w:t>
      </w:r>
    </w:p>
    <w:p>
      <w:r>
        <w:pict>
          <v:rect style="width:0;height:1.5pt" o:hralign="center" o:hrstd="t" o:hr="t"/>
        </w:pict>
      </w:r>
    </w:p>
    <w:bookmarkEnd w:id="49"/>
    <w:bookmarkEnd w:id="50"/>
    <w:bookmarkStart w:id="51" w:name="limitations-and-future-work"/>
    <w:p>
      <w:pPr>
        <w:pStyle w:val="Heading2"/>
      </w:pPr>
      <w:r>
        <w:t xml:space="preserve">9. Limitations and Future Work</w:t>
      </w:r>
    </w:p>
    <w:p>
      <w:pPr>
        <w:pStyle w:val="Compact"/>
        <w:numPr>
          <w:ilvl w:val="0"/>
          <w:numId w:val="1007"/>
        </w:numPr>
      </w:pPr>
      <w:r>
        <w:rPr>
          <w:b/>
          <w:bCs/>
        </w:rPr>
        <w:t xml:space="preserve">Synthetic evaluation only.</w:t>
      </w:r>
      <w:r>
        <w:t xml:space="preserve"> </w:t>
      </w:r>
      <w:r>
        <w:t xml:space="preserve">Validation on full industrial plant design packages was not feasible because detailed engineering data in EPC projects are typically confidential and not publicly shareable. Accordingly, the evaluation uses curated synthetic golden cases derived from reference examples in the applicable standards. The perfect accuracy on these cases is expected for deterministic rule-based engines and should be interpreted as implementation-correctness evidence under curated conditions, not as proof of universal field performance across real EPC projects.</w:t>
      </w:r>
    </w:p>
    <w:p>
      <w:pPr>
        <w:pStyle w:val="Compact"/>
        <w:numPr>
          <w:ilvl w:val="0"/>
          <w:numId w:val="1007"/>
        </w:numPr>
      </w:pPr>
      <w:r>
        <w:rPr>
          <w:b/>
          <w:bCs/>
        </w:rPr>
        <w:t xml:space="preserve">Screening-level outputs.</w:t>
      </w:r>
      <w:r>
        <w:t xml:space="preserve"> </w:t>
      </w:r>
      <w:r>
        <w:t xml:space="preserve">Domain outputs support engineering review but cannot substitute for detailed design calculations or fitness-for-service assessments by qualified engineers.</w:t>
      </w:r>
    </w:p>
    <w:p>
      <w:pPr>
        <w:pStyle w:val="Compact"/>
        <w:numPr>
          <w:ilvl w:val="0"/>
          <w:numId w:val="1007"/>
        </w:numPr>
      </w:pPr>
      <w:r>
        <w:rPr>
          <w:b/>
          <w:bCs/>
        </w:rPr>
        <w:t xml:space="preserve">Curated retrieval benchmark.</w:t>
      </w:r>
      <w:r>
        <w:t xml:space="preserve"> </w:t>
      </w:r>
      <w:r>
        <w:t xml:space="preserve">The 50-query benchmark measures retrieval robustness across query formulations, not breadth of regulatory coverage. BM25 may miss semantically similar Korean documents despite synonym expansion.</w:t>
      </w:r>
    </w:p>
    <w:p>
      <w:pPr>
        <w:pStyle w:val="Compact"/>
        <w:numPr>
          <w:ilvl w:val="0"/>
          <w:numId w:val="1007"/>
        </w:numPr>
      </w:pPr>
      <w:r>
        <w:rPr>
          <w:b/>
          <w:bCs/>
        </w:rPr>
        <w:t xml:space="preserve">Ten coupling pairs.</w:t>
      </w:r>
      <w:r>
        <w:t xml:space="preserve"> </w:t>
      </w:r>
      <w:r>
        <w:t xml:space="preserve">Systematic expansion to additional domain pairs is needed. The current set covers well-documented inter-discipline failure mechanisms but is not exhaustive.</w:t>
      </w:r>
    </w:p>
    <w:p>
      <w:pPr>
        <w:pStyle w:val="Compact"/>
        <w:numPr>
          <w:ilvl w:val="0"/>
          <w:numId w:val="1007"/>
        </w:numPr>
      </w:pPr>
      <w:r>
        <w:rPr>
          <w:b/>
          <w:bCs/>
        </w:rPr>
        <w:t xml:space="preserve">Internal baselines only.</w:t>
      </w:r>
      <w:r>
        <w:t xml:space="preserve"> </w:t>
      </w:r>
      <w:r>
        <w:t xml:space="preserve">Comparison against existing industrial engineering review workflows has not been performed. The ablation baselines quantify the incremental contribution of specific system components rather than comparative advantage over external tools.</w:t>
      </w:r>
    </w:p>
    <w:p>
      <w:pPr>
        <w:pStyle w:val="FirstParagraph"/>
      </w:pPr>
      <w:r>
        <w:rPr>
          <w:b/>
          <w:bCs/>
        </w:rPr>
        <w:t xml:space="preserve">Future directions:</w:t>
      </w:r>
      <w:r>
        <w:t xml:space="preserve"> </w:t>
      </w:r>
      <w:r>
        <w:t xml:space="preserve">- Field pilot with real plant data from both design and in-service inspection contexts.</w:t>
      </w:r>
      <w:r>
        <w:t xml:space="preserve"> </w:t>
      </w:r>
      <w:r>
        <w:t xml:space="preserve">- Integration with RBI (Risk-Based Inspection) and HAZOP (Hazard and Operability) workflows.</w:t>
      </w:r>
      <w:r>
        <w:t xml:space="preserve"> </w:t>
      </w:r>
      <w:r>
        <w:t xml:space="preserve">- Semantic vector search using a Korean embedding model for GPU-capable deployments.</w:t>
      </w:r>
      <w:r>
        <w:t xml:space="preserve"> </w:t>
      </w:r>
      <w:r>
        <w:t xml:space="preserve">- Evaluation of the jurisdiction compliance gap in other national contexts (EU PED, Chinese GB, Saudi regulations).</w:t>
      </w:r>
    </w:p>
    <w:p>
      <w:r>
        <w:pict>
          <v:rect style="width:0;height:1.5pt" o:hralign="center" o:hrstd="t" o:hr="t"/>
        </w:pict>
      </w:r>
    </w:p>
    <w:bookmarkEnd w:id="51"/>
    <w:bookmarkStart w:id="52" w:name="conclusion"/>
    <w:p>
      <w:pPr>
        <w:pStyle w:val="Heading2"/>
      </w:pPr>
      <w:r>
        <w:t xml:space="preserve">10. Conclusion</w:t>
      </w:r>
    </w:p>
    <w:p>
      <w:pPr>
        <w:pStyle w:val="FirstParagraph"/>
      </w:pPr>
      <w:r>
        <w:t xml:space="preserve">This paper has introduced the concept of the</w:t>
      </w:r>
      <w:r>
        <w:t xml:space="preserve"> </w:t>
      </w:r>
      <w:r>
        <w:rPr>
          <w:b/>
          <w:bCs/>
        </w:rPr>
        <w:t xml:space="preserve">jurisdiction compliance gap</w:t>
      </w:r>
      <w:r>
        <w:t xml:space="preserve"> </w:t>
      </w:r>
      <w:r>
        <w:t xml:space="preserve">and presented a proof-of-feasibility expert verification system that detects it automatically. The system integrates seven domain calculation engines, a four-layer hybrid verification model with K-voting consensus, a cross-discipline coupling validator, and a KOSHA regulatory RAG layer. It is positioned as a verification layer for screening regulatory omissions and inter-discipline blind spots, not as a replacement for detailed engineering design.</w:t>
      </w:r>
    </w:p>
    <w:p>
      <w:pPr>
        <w:pStyle w:val="BodyText"/>
      </w:pPr>
      <w:r>
        <w:t xml:space="preserve">Key findings:</w:t>
      </w:r>
      <w:r>
        <w:t xml:space="preserve"> </w:t>
      </w:r>
      <w:r>
        <w:t xml:space="preserve">- Cross-discipline coupling validation identified 25 additional hazard scenarios in a 60-scenario ablation that single-domain calculations structurally miss, with zero false positives on standard-aligned cases.</w:t>
      </w:r>
      <w:r>
        <w:t xml:space="preserve"> </w:t>
      </w:r>
      <w:r>
        <w:t xml:space="preserve">- Concept-aware regulatory retrieval improved Recall@1 from 0.44 to 0.74 and MRR@10 from 0.5744 to 0.7933 over plain full-text search.</w:t>
      </w:r>
      <w:r>
        <w:t xml:space="preserve"> </w:t>
      </w:r>
      <w:r>
        <w:t xml:space="preserve">- Three case studies illustrate that ASME/API-compliant calculations can leave Korean-jurisdiction obligations unaddressed, including Article 256 corrosion-prevention requirements — a finding with direct implications for PSM-based loss prevention.</w:t>
      </w:r>
    </w:p>
    <w:p>
      <w:pPr>
        <w:pStyle w:val="BodyText"/>
      </w:pPr>
      <w:r>
        <w:t xml:space="preserve">We hypothesise that the jurisdiction compliance gap is a structural property of how international codes and national regulations interact. It is likely not specific to Korea or to the engineering domains studied here. Any jurisdiction where national safety regulations augment international code calculations may exhibit analogous gaps. Automated detection of these gaps at the calculation stage—rather than at audit or after incident—represents a meaningful contribution to engineering expert systems and process safety management.</w:t>
      </w:r>
    </w:p>
    <w:p>
      <w:pPr>
        <w:pStyle w:val="BodyText"/>
      </w:pPr>
      <w:r>
        <w:t xml:space="preserve">Code, datasets, and benchmark scripts will be made publicly available under the AGPL-3.0 license upon acceptance.</w:t>
      </w:r>
    </w:p>
    <w:p>
      <w:r>
        <w:pict>
          <v:rect style="width:0;height:1.5pt" o:hralign="center" o:hrstd="t" o:hr="t"/>
        </w:pict>
      </w:r>
    </w:p>
    <w:bookmarkEnd w:id="52"/>
    <w:bookmarkStart w:id="54" w:name="code-and-data-availability"/>
    <w:p>
      <w:pPr>
        <w:pStyle w:val="Heading2"/>
      </w:pPr>
      <w:r>
        <w:t xml:space="preserve">Code and Data Availability</w:t>
      </w:r>
    </w:p>
    <w:p>
      <w:pPr>
        <w:pStyle w:val="FirstParagraph"/>
      </w:pPr>
      <w:r>
        <w:t xml:space="preserve">Source code, golden datasets, benchmark scripts, and the KOSHA regulatory corpus index will be made publicly available at</w:t>
      </w:r>
      <w:r>
        <w:t xml:space="preserve"> </w:t>
      </w:r>
      <w:hyperlink r:id="rId53">
        <w:r>
          <w:rPr>
            <w:rStyle w:val="Hyperlink"/>
          </w:rPr>
          <w:t xml:space="preserve">https://github.com/yuyongkim/did-you-check-kosha</w:t>
        </w:r>
      </w:hyperlink>
      <w:r>
        <w:t xml:space="preserve"> </w:t>
      </w:r>
      <w:r>
        <w:t xml:space="preserve">under the AGPL-3.0 license upon acceptance. A code-to-paper mapping document is included in the repository (</w:t>
      </w:r>
      <w:r>
        <w:rPr>
          <w:rStyle w:val="VerbatimChar"/>
        </w:rPr>
        <w:t xml:space="preserve">docs/publication/CODE_MAP.md</w:t>
      </w:r>
      <w:r>
        <w:t xml:space="preserve">).</w:t>
      </w:r>
    </w:p>
    <w:p>
      <w:r>
        <w:pict>
          <v:rect style="width:0;height:1.5pt" o:hralign="center" o:hrstd="t" o:hr="t"/>
        </w:pict>
      </w:r>
    </w:p>
    <w:bookmarkEnd w:id="54"/>
    <w:bookmarkStart w:id="55" w:name="credit-authorship-contribution-statement"/>
    <w:p>
      <w:pPr>
        <w:pStyle w:val="Heading2"/>
      </w:pPr>
      <w:r>
        <w:t xml:space="preserve">CRediT Authorship Contribution Statement</w:t>
      </w:r>
    </w:p>
    <w:p>
      <w:pPr>
        <w:pStyle w:val="FirstParagraph"/>
      </w:pPr>
      <w:r>
        <w:rPr>
          <w:b/>
          <w:bCs/>
        </w:rPr>
        <w:t xml:space="preserve">Yuyong Kim:</w:t>
      </w:r>
      <w:r>
        <w:t xml:space="preserve"> </w:t>
      </w:r>
      <w:r>
        <w:t xml:space="preserve">Conceptualization, Methodology, Software, Validation, Formal analysis, Investigation, Data curation, Writing – original draft, Writing – review &amp; editing, Visualization.</w:t>
      </w:r>
    </w:p>
    <w:p>
      <w:r>
        <w:pict>
          <v:rect style="width:0;height:1.5pt" o:hralign="center" o:hrstd="t" o:hr="t"/>
        </w:pict>
      </w:r>
    </w:p>
    <w:bookmarkEnd w:id="55"/>
    <w:bookmarkStart w:id="56" w:name="declaration-of-competing-interest"/>
    <w:p>
      <w:pPr>
        <w:pStyle w:val="Heading2"/>
      </w:pPr>
      <w:r>
        <w:t xml:space="preserve">Declaration of Competing Interest</w:t>
      </w:r>
    </w:p>
    <w:p>
      <w:pPr>
        <w:pStyle w:val="FirstParagraph"/>
      </w:pPr>
      <w:r>
        <w:t xml:space="preserve">The author declares no known competing financial interests or personal relationships that could have appeared to influence this work.</w:t>
      </w:r>
    </w:p>
    <w:p>
      <w:r>
        <w:pict>
          <v:rect style="width:0;height:1.5pt" o:hralign="center" o:hrstd="t" o:hr="t"/>
        </w:pict>
      </w:r>
    </w:p>
    <w:bookmarkEnd w:id="56"/>
    <w:bookmarkStart w:id="57" w:name="acknowledgements"/>
    <w:p>
      <w:pPr>
        <w:pStyle w:val="Heading2"/>
      </w:pPr>
      <w:r>
        <w:t xml:space="preserve">Acknowledgements</w:t>
      </w:r>
    </w:p>
    <w:p>
      <w:pPr>
        <w:pStyle w:val="FirstParagraph"/>
      </w:pPr>
      <w:r>
        <w:t xml:space="preserve">The author acknowledges the Korea Occupational Safety and Health Agency (KOSHA) for public API access to technical guidelines and statutory provisions.</w:t>
      </w:r>
    </w:p>
    <w:p>
      <w:r>
        <w:pict>
          <v:rect style="width:0;height:1.5pt" o:hralign="center" o:hrstd="t" o:hr="t"/>
        </w:pict>
      </w:r>
    </w:p>
    <w:bookmarkEnd w:id="57"/>
    <w:bookmarkStart w:id="58" w:name="references"/>
    <w:p>
      <w:pPr>
        <w:pStyle w:val="Heading2"/>
      </w:pPr>
      <w:r>
        <w:t xml:space="preserve">References</w:t>
      </w:r>
    </w:p>
    <w:p>
      <w:pPr>
        <w:pStyle w:val="FirstParagraph"/>
      </w:pPr>
      <w:r>
        <w:t xml:space="preserve">Ait-Alla, A., Quandt, M., Lütjen, M., Freitag, M., 2022. On Predictive Maintenance in Industry 4.0: Overview, Models, and Challenges. Applied Sciences 12 (16), 8081.</w:t>
      </w:r>
    </w:p>
    <w:p>
      <w:pPr>
        <w:pStyle w:val="BodyText"/>
      </w:pPr>
      <w:r>
        <w:t xml:space="preserve">Avizienis, A., 1985. The N-version approach to fault-tolerant software. IEEE Trans. Softw. Eng. SE-11 (12), 1491–1501.</w:t>
      </w:r>
    </w:p>
    <w:p>
      <w:pPr>
        <w:pStyle w:val="BodyText"/>
      </w:pPr>
      <w:r>
        <w:t xml:space="preserve">Elhosary, M. et al., 2024. LLM-assisted HAZOP study using retrieval-augmented generation. IChemE Symposium Series No. 171: Hazards 34.</w:t>
      </w:r>
    </w:p>
    <w:p>
      <w:pPr>
        <w:pStyle w:val="BodyText"/>
      </w:pPr>
      <w:r>
        <w:t xml:space="preserve">Gao, Y., Xiong, Y., Huang, X. et al., 2024. Retrieval-Augmented Generation for Large Language Models: A Survey. arXiv:2312.10997.</w:t>
      </w:r>
    </w:p>
    <w:p>
      <w:pPr>
        <w:pStyle w:val="BodyText"/>
      </w:pPr>
      <w:r>
        <w:t xml:space="preserve">Hector, I., Panjanathan, R., 2024. Predictive maintenance in Industry 4.0: a survey of planning models and ML techniques. PeerJ Comput. Sci. 10, e2016.</w:t>
      </w:r>
    </w:p>
    <w:p>
      <w:pPr>
        <w:pStyle w:val="BodyText"/>
      </w:pPr>
      <w:r>
        <w:t xml:space="preserve">Jones, J.F. et al., 2025. AI for asset integrity management of offshore oil and gas pipelines. Life Cycle Reliability and Safety Engineering.</w:t>
      </w:r>
    </w:p>
    <w:p>
      <w:pPr>
        <w:pStyle w:val="BodyText"/>
      </w:pPr>
      <w:r>
        <w:t xml:space="preserve">Kim, H., Yi, J.-S., Jang, Y., 2022. Analyzing Patterns of Multi-cause Accidents From KOSHA’s Case Reports Using Text Mining. J. Architectural Institute of Korea 38 (4), 237–244.</w:t>
      </w:r>
    </w:p>
    <w:p>
      <w:pPr>
        <w:pStyle w:val="BodyText"/>
      </w:pPr>
      <w:r>
        <w:t xml:space="preserve">Klesel, M., Wittmann, H.F., 2025. Retrieval-Augmented Generation (RAG). Bus. Inf. Syst. Eng. 67 (4), 551–561.</w:t>
      </w:r>
    </w:p>
    <w:p>
      <w:pPr>
        <w:pStyle w:val="BodyText"/>
      </w:pPr>
      <w:r>
        <w:t xml:space="preserve">Lee, J., Ahn, S., 2025. AI Prototype for Construction Safety Guidelines via Fine-Tuning LLM. Korean J. Constr. Eng. Mgmt. 26 (2), 20–31.</w:t>
      </w:r>
    </w:p>
    <w:p>
      <w:pPr>
        <w:pStyle w:val="BodyText"/>
      </w:pPr>
      <w:r>
        <w:t xml:space="preserve">Lewis, P. et al., 2020. Retrieval-Augmented Generation for Knowledge-Intensive NLP Tasks. NeurIPS 2020, 33, 9459–9474.</w:t>
      </w:r>
    </w:p>
    <w:p>
      <w:pPr>
        <w:pStyle w:val="BodyText"/>
      </w:pPr>
      <w:r>
        <w:t xml:space="preserve">Robertson, S., Zaragoza, H., 2009. The Probabilistic Relevance Framework: BM25 and Beyond. Found. Trends Inf. Ret. 3 (4), 333–389.</w:t>
      </w:r>
    </w:p>
    <w:p>
      <w:pPr>
        <w:pStyle w:val="BodyText"/>
      </w:pPr>
      <w:r>
        <w:t xml:space="preserve">Selvam, D.C. et al., 2026. AI in process safety: opportunities, challenges, and future directions. J. Loss Prevention in the Process Industries (in press).</w:t>
      </w:r>
    </w:p>
    <w:p>
      <w:pPr>
        <w:pStyle w:val="BodyText"/>
      </w:pPr>
      <w:r>
        <w:t xml:space="preserve">Walavalkar, V. et al., 2021. ML and DL in Chemical Health and Safety: A Systematic Review. ACS Chem. Health Saf.</w:t>
      </w:r>
    </w:p>
    <w:p>
      <w:pPr>
        <w:pStyle w:val="BodyText"/>
      </w:pPr>
      <w:r>
        <w:t xml:space="preserve">Walker, C. et al., 2026. RAGuard: Safe RAG for LLMs. IMBSA 2025, LNCS 15755 (in press).</w:t>
      </w:r>
    </w:p>
    <w:p>
      <w:pPr>
        <w:pStyle w:val="BodyText"/>
      </w:pPr>
      <w:r>
        <w:t xml:space="preserve">Woo, T. et al., 2025. Leveraging Generative AI and LLM for Process Systems Engineering. Korean J. Chem. Eng. 42, 2787–2808.</w:t>
      </w:r>
    </w:p>
    <w:p>
      <w:pPr>
        <w:pStyle w:val="BodyText"/>
      </w:pPr>
      <w:r>
        <w:t xml:space="preserve">ASME, 2022. ASME B31.3-2022: Process Piping. ASME, New York.</w:t>
      </w:r>
    </w:p>
    <w:p>
      <w:pPr>
        <w:pStyle w:val="BodyText"/>
      </w:pPr>
      <w:r>
        <w:t xml:space="preserve">API, 2020. API 579-1/ASME FFS-1: Fitness-For-Service, 3rd ed. API, Washington, DC.</w:t>
      </w:r>
    </w:p>
    <w:p>
      <w:pPr>
        <w:pStyle w:val="BodyText"/>
      </w:pPr>
      <w:r>
        <w:t xml:space="preserve">KOSHA, 2026. KOSHA Guide Technical Regulations Portal. https://www.kosha.or.kr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3" Target="https://github.com/yuyongkim/did-you-check-kosha" TargetMode="External" /></Relationships>
</file>

<file path=word/_rels/footnotes.xml.rels><?xml version="1.0" encoding="UTF-8"?><Relationships xmlns="http://schemas.openxmlformats.org/package/2006/relationships"><Relationship Type="http://schemas.openxmlformats.org/officeDocument/2006/relationships/hyperlink" Id="rId53" Target="https://github.com/yuyongkim/did-you-check-kosh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2026-04-01T02:00:41Z</dcterms:created>
  <dcterms:modified xsi:type="dcterms:W3CDTF">2026-04-01T02:00:41Z</dcterms:modified>
</cp:coreProperties>
</file>

<file path=docProps/custom.xml><?xml version="1.0" encoding="utf-8"?>
<Properties xmlns="http://schemas.openxmlformats.org/officeDocument/2006/custom-properties" xmlns:vt="http://schemas.openxmlformats.org/officeDocument/2006/docPropsVTypes"/>
</file>