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Before / After section comparison — JLP-D-26-00414 (revision 2026-05-10)</w:t>
      </w:r>
    </w:p>
    <w:p>
      <w:r>
        <w:rPr>
          <w:i/>
        </w:rPr>
        <w:t>72 changed rows: 24 NEW, 37 REVISED, 11 DELETED. (Sections &gt;=95% identical between versions are not shown.) Excerpts truncated to 1200 chars per cell. See PAPER_JLP_REVISED_v3.docx for the full revised manuscript.</w:t>
      </w:r>
    </w:p>
    <w:tbl>
      <w:tblPr>
        <w:tblStyle w:val="LightGrid-Accent1"/>
        <w:tblW w:type="auto" w:w="0"/>
        <w:tblLook w:firstColumn="1" w:firstRow="1" w:lastColumn="0" w:lastRow="0" w:noHBand="0" w:noVBand="1" w:val="04A0"/>
        <w:tblLayout w:type="fixed"/>
      </w:tblPr>
      <w:tblGrid>
        <w:gridCol w:w="576"/>
        <w:gridCol w:w="2880"/>
        <w:gridCol w:w="5760"/>
        <w:gridCol w:w="5760"/>
      </w:tblGrid>
      <w:tr>
        <w:tc>
          <w:tcPr>
            <w:tcW w:type="dxa" w:w="576"/>
            <w:shd w:val="clear" w:color="auto" w:fill="D9E1F2"/>
          </w:tcPr>
          <w:p>
            <w:r>
              <w:rPr>
                <w:b/>
              </w:rPr>
              <w:t>#</w:t>
            </w:r>
          </w:p>
        </w:tc>
        <w:tc>
          <w:tcPr>
            <w:tcW w:type="dxa" w:w="2880"/>
            <w:shd w:val="clear" w:color="auto" w:fill="D9E1F2"/>
          </w:tcPr>
          <w:p>
            <w:r>
              <w:rPr>
                <w:b/>
              </w:rPr>
              <w:t>Section</w:t>
            </w:r>
          </w:p>
        </w:tc>
        <w:tc>
          <w:tcPr>
            <w:tcW w:type="dxa" w:w="5760"/>
            <w:shd w:val="clear" w:color="auto" w:fill="D9E1F2"/>
          </w:tcPr>
          <w:p>
            <w:r>
              <w:rPr>
                <w:b/>
              </w:rPr>
              <w:t>Before (initial submission, 2026-03-31)</w:t>
            </w:r>
          </w:p>
        </w:tc>
        <w:tc>
          <w:tcPr>
            <w:tcW w:type="dxa" w:w="5760"/>
            <w:shd w:val="clear" w:color="auto" w:fill="D9E1F2"/>
          </w:tcPr>
          <w:p>
            <w:r>
              <w:rPr>
                <w:b/>
              </w:rPr>
              <w:t>After (this revision)</w:t>
            </w:r>
          </w:p>
        </w:tc>
      </w:tr>
      <w:tr>
        <w:tc>
          <w:tcPr>
            <w:tcW w:type="dxa" w:w="576"/>
            <w:shd w:val="clear" w:color="auto" w:fill="FFF2CC"/>
            <w:vAlign w:val="top"/>
          </w:tcPr>
          <w:p>
            <w:r>
              <w:rPr>
                <w:sz w:val="16"/>
              </w:rPr>
              <w:t>1</w:t>
            </w:r>
          </w:p>
        </w:tc>
        <w:tc>
          <w:tcPr>
            <w:tcW w:type="dxa" w:w="2880"/>
            <w:shd w:val="clear" w:color="auto" w:fill="FFF2CC"/>
            <w:vAlign w:val="top"/>
          </w:tcPr>
          <w:p>
            <w:r>
              <w:rPr>
                <w:b/>
                <w:sz w:val="16"/>
              </w:rPr>
              <w:t xml:space="preserve">[REVISED] </w:t>
            </w:r>
            <w:r>
              <w:rPr>
                <w:sz w:val="16"/>
              </w:rPr>
              <w:t>Detecting Jurisdiction Compliance Gaps in Process Plant Engineering with Regulatory RAG</w:t>
            </w:r>
          </w:p>
        </w:tc>
        <w:tc>
          <w:tcPr>
            <w:tcW w:type="dxa" w:w="5760"/>
            <w:shd w:val="clear" w:color="auto" w:fill="FFF2CC"/>
            <w:vAlign w:val="top"/>
          </w:tcPr>
          <w:p>
            <w:r>
              <w:rPr>
                <w:sz w:val="16"/>
              </w:rPr>
              <w:t>Yuyong Kim University of Wisconsin–Madison, Madison, WI 53706, USA M.S. Data, Insights &amp; Analytics; B.S. Chemical &amp; Biological Engineering</w:t>
            </w:r>
          </w:p>
        </w:tc>
        <w:tc>
          <w:tcPr>
            <w:tcW w:type="dxa" w:w="5760"/>
            <w:shd w:val="clear" w:color="auto" w:fill="FFF2CC"/>
            <w:vAlign w:val="top"/>
          </w:tcPr>
          <w:p>
            <w:r>
              <w:rPr>
                <w:sz w:val="16"/>
              </w:rPr>
              <w:t>Yuyong Kim University of Wisconsin–Madison ykim288@wisc.edu Manuscript number: JLP-D-26-00414 (revised)</w:t>
            </w:r>
          </w:p>
        </w:tc>
      </w:tr>
      <w:tr>
        <w:tc>
          <w:tcPr>
            <w:tcW w:type="dxa" w:w="576"/>
            <w:shd w:val="clear" w:color="auto" w:fill="FFF2CC"/>
            <w:vAlign w:val="top"/>
          </w:tcPr>
          <w:p>
            <w:r>
              <w:rPr>
                <w:sz w:val="16"/>
              </w:rPr>
              <w:t>2</w:t>
            </w:r>
          </w:p>
        </w:tc>
        <w:tc>
          <w:tcPr>
            <w:tcW w:type="dxa" w:w="2880"/>
            <w:shd w:val="clear" w:color="auto" w:fill="FFF2CC"/>
            <w:vAlign w:val="top"/>
          </w:tcPr>
          <w:p>
            <w:r>
              <w:rPr>
                <w:b/>
                <w:sz w:val="16"/>
              </w:rPr>
              <w:t xml:space="preserve">[REVISED] </w:t>
            </w:r>
            <w:r>
              <w:rPr>
                <w:sz w:val="16"/>
              </w:rPr>
              <w:t>Abstract</w:t>
            </w:r>
          </w:p>
        </w:tc>
        <w:tc>
          <w:tcPr>
            <w:tcW w:type="dxa" w:w="5760"/>
            <w:shd w:val="clear" w:color="auto" w:fill="FFF2CC"/>
            <w:vAlign w:val="top"/>
          </w:tcPr>
          <w:p>
            <w:r>
              <w:rPr>
                <w:sz w:val="16"/>
              </w:rPr>
              <w:t>Engineering calculations in process plants must satisfy both international codes (ASME, API, IEEE, IEC) and national safety regulations. When these two layers are misaligned, code-compliant engineering packages can leave latent accident pathways unaddressed — a condition we term the jurisdiction compliance gap. In Korean process plants, the KOSHA PSM framework imposes documentation, review triggers, and corrosion-prevention controls that international code calculations do not encode; overlooking these obligations can delay hazard identification until regulatory audit or, worse, until an incident occurs. This study proposes a proof-of-feasibility verification layer — not a replacement for detailed engineering design — that screens for such gaps. The system combines seven domain calculation engines, a four-layer hybrid verification model with K-voting consensus, a cross-discipline coupling validator, and a regulatory RAG layer indexing 1,327 KOSHA guides and 3,102 statutory provisions. On 220 curated synthetic golden cases, the deterministic engines confirm implementation correctness. A 60-scenario ablation shows that cross-discipline coupling validation blocks 25 additional hazard …[truncated]</w:t>
            </w:r>
          </w:p>
        </w:tc>
        <w:tc>
          <w:tcPr>
            <w:tcW w:type="dxa" w:w="5760"/>
            <w:shd w:val="clear" w:color="auto" w:fill="FFF2CC"/>
            <w:vAlign w:val="top"/>
          </w:tcPr>
          <w:p>
            <w:r>
              <w:rPr>
                <w:sz w:val="16"/>
              </w:rPr>
              <w:t>Engineering calculations in Korean process plant projects span seven disciplines, but conventional review remains discipline-siloed and rarely surfaces Korean-jurisdiction obligations beyond international code compliance. This paper presents an AI verification platform that combines seven standards-based calculation engines, a four-layer verification stack, and a local KOSHA Retrieval-Augmented Generation (RAG) layer built from 1,327 guide documents and 3,102 statutory-provision rows, yielding 16,174 searchable entries in a SQLite FTS5 index. Regulatory grounding is generated on-premises with qwen3:4b served through Ollama. Across 220 synthetic golden cases, all calculations pass end-to-end implementation verification. In a 60-scenario cross-discipline ablation, enabling the validator increases blocking from 0/60 to 26/60 (+0.4333), with 22 of 26 detections concentrated in piping-vessel nozzle-margin coupling. In a 50-query curated retrieval benchmark, enhanced retrieval improves Recall@1 from 0.4400 to 0.7400 and MRR@10 from 0.5744 to 0.7933 over plain BM25; Recall@3 and Recall@5 each improve by +0.12 but are not statistically distinguishable from zero on this benchmark. Three …[truncated]</w:t>
            </w:r>
          </w:p>
        </w:tc>
      </w:tr>
      <w:tr>
        <w:tc>
          <w:tcPr>
            <w:tcW w:type="dxa" w:w="576"/>
            <w:shd w:val="clear" w:color="auto" w:fill="FFF2CC"/>
            <w:vAlign w:val="top"/>
          </w:tcPr>
          <w:p>
            <w:r>
              <w:rPr>
                <w:sz w:val="16"/>
              </w:rPr>
              <w:t>3</w:t>
            </w:r>
          </w:p>
        </w:tc>
        <w:tc>
          <w:tcPr>
            <w:tcW w:type="dxa" w:w="2880"/>
            <w:shd w:val="clear" w:color="auto" w:fill="FFF2CC"/>
            <w:vAlign w:val="top"/>
          </w:tcPr>
          <w:p>
            <w:r>
              <w:rPr>
                <w:b/>
                <w:sz w:val="16"/>
              </w:rPr>
              <w:t xml:space="preserve">[REVISED] </w:t>
            </w:r>
            <w:r>
              <w:rPr>
                <w:sz w:val="16"/>
              </w:rPr>
              <w:t>1 Introduction</w:t>
            </w:r>
          </w:p>
        </w:tc>
        <w:tc>
          <w:tcPr>
            <w:tcW w:type="dxa" w:w="5760"/>
            <w:shd w:val="clear" w:color="auto" w:fill="FFF2CC"/>
            <w:vAlign w:val="top"/>
          </w:tcPr>
          <w:p>
            <w:r>
              <w:rPr>
                <w:sz w:val="16"/>
              </w:rPr>
            </w:r>
          </w:p>
        </w:tc>
        <w:tc>
          <w:tcPr>
            <w:tcW w:type="dxa" w:w="5760"/>
            <w:shd w:val="clear" w:color="auto" w:fill="FFF2CC"/>
            <w:vAlign w:val="top"/>
          </w:tcPr>
          <w:p>
            <w:r>
              <w:rPr>
                <w:sz w:val="16"/>
              </w:rPr>
              <w:t>Engineering calculation and compliance verification in Korean petrochemical and process plant projects span more than seven engineering disciplines — piping, pressure vessels (static equipment), rotating machinery, electrical systems, instrumentation, structural steel, and civil structures — across a broad lifecycle that includes process design, detailed engineering, construction and commissioning, and ongoing operation and inspection. Whether verifying that a new piping system meets minimum wall-thickness requirements under ASME B31.3 or assessing the remaining service life of an operating pressure vessel under API 579-1, the underlying calculation workflows share the same structural problem: discipline-specific tools and review procedures create a systematic gap in which (a) cross-discipline coupling hazards are not captured and (b) jurisdictional regulatory obligations beyond the international codes are not surfaced. Excessive piping nozzle loads can drive rotating equipment vibration; civil foundation settlement can propagate into rotating equipment alignment failure; neither is detectable by single-domain calculations alone. Likewise, an SA-106 carbon-steel line in …[truncated]</w:t>
            </w:r>
          </w:p>
        </w:tc>
      </w:tr>
      <w:tr>
        <w:tc>
          <w:tcPr>
            <w:tcW w:type="dxa" w:w="576"/>
            <w:shd w:val="clear" w:color="auto" w:fill="E2F0D9"/>
            <w:vAlign w:val="top"/>
          </w:tcPr>
          <w:p>
            <w:r>
              <w:rPr>
                <w:sz w:val="16"/>
              </w:rPr>
              <w:t>4</w:t>
            </w:r>
          </w:p>
        </w:tc>
        <w:tc>
          <w:tcPr>
            <w:tcW w:type="dxa" w:w="2880"/>
            <w:shd w:val="clear" w:color="auto" w:fill="E2F0D9"/>
            <w:vAlign w:val="top"/>
          </w:tcPr>
          <w:p>
            <w:r>
              <w:rPr>
                <w:b/>
                <w:sz w:val="16"/>
              </w:rPr>
              <w:t xml:space="preserve">[NEW] </w:t>
            </w:r>
            <w:r>
              <w:rPr>
                <w:sz w:val="16"/>
              </w:rPr>
              <w:t>2.1 AI Applications in Process Safety</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Large language models are increasingly studied for chemical process design, optimisation, and maintenance knowledge extraction. Selvam et al. (2026) review AI applications across hazard detection, dynamic risk assessment, and barrier management in chemical process industries, reporting 30–60% gains in anomaly and near-miss detection accuracy, while identifying data bias, field validation, and regulatory uncertainty as primary limitations. Woo et al. (2025) survey LLM applications in process systems engineering across chemical process design, hybrid process modelling, and autonomous control systems, but do not address seven-discipline integrated engineering verification or KOSHA regulatory RAG. Elhosary et al. (2024) propose an LLM-assisted HAZOP system using RAG and vector search to retrieve historical incidents and guide analysis sessions, but the system is limited to single-process analysis and does not integrate multi-discipline calculation verification. Walavalkar et al. (2021) systematically review more than one hundred ML and deep learning applications in chemical health and safety, covering exposure and risk assessment, but do not treat RAG-based regulatory grounding or …[truncated]</w:t>
            </w:r>
          </w:p>
        </w:tc>
      </w:tr>
      <w:tr>
        <w:tc>
          <w:tcPr>
            <w:tcW w:type="dxa" w:w="576"/>
            <w:shd w:val="clear" w:color="auto" w:fill="FFF2CC"/>
            <w:vAlign w:val="top"/>
          </w:tcPr>
          <w:p>
            <w:r>
              <w:rPr>
                <w:sz w:val="16"/>
              </w:rPr>
              <w:t>5</w:t>
            </w:r>
          </w:p>
        </w:tc>
        <w:tc>
          <w:tcPr>
            <w:tcW w:type="dxa" w:w="2880"/>
            <w:shd w:val="clear" w:color="auto" w:fill="FFF2CC"/>
            <w:vAlign w:val="top"/>
          </w:tcPr>
          <w:p>
            <w:r>
              <w:rPr>
                <w:b/>
                <w:sz w:val="16"/>
              </w:rPr>
              <w:t xml:space="preserve">[REVISED] </w:t>
            </w:r>
            <w:r>
              <w:rPr>
                <w:sz w:val="16"/>
              </w:rPr>
              <w:t>2.2 RAG in Technical and Regulatory Domains</w:t>
            </w:r>
          </w:p>
        </w:tc>
        <w:tc>
          <w:tcPr>
            <w:tcW w:type="dxa" w:w="5760"/>
            <w:shd w:val="clear" w:color="auto" w:fill="FFF2CC"/>
            <w:vAlign w:val="top"/>
          </w:tcPr>
          <w:p>
            <w:r>
              <w:rPr>
                <w:sz w:val="16"/>
              </w:rPr>
              <w:t>(was: 2.2 Retrieval-augmented generation for regulatory domains)</w:t>
              <w:br/>
              <w:br/>
              <w:t>The RAG paradigm (Lewis et al., 2020; Gao et al., 2024) augments language models with retrieved evidence. Walker et al. (2026) apply safety-document RAG to offshore wind maintenance, the closest structural analogue to our work, but without cross-jurisdiction regulatory analysis. Klesel and Wittmann (2025) identify regulatory RAG as an open direction. The present work instantiates this direction with a concrete corpus construction and evaluation methodology for Korean industrial safety regulations.</w:t>
            </w:r>
          </w:p>
        </w:tc>
        <w:tc>
          <w:tcPr>
            <w:tcW w:type="dxa" w:w="5760"/>
            <w:shd w:val="clear" w:color="auto" w:fill="FFF2CC"/>
            <w:vAlign w:val="top"/>
          </w:tcPr>
          <w:p>
            <w:r>
              <w:rPr>
                <w:sz w:val="16"/>
              </w:rPr>
              <w:t>The foundational RAG architecture of Lewis et al. (2020), surveyed by Gao et al. (2024), targets general knowledge-intensive NLP tasks; the present work specialises this architecture for a KOSHA regulatory corpus integrated with domain-level engineering calculation context. Walker et al. (2026) propose RAGuard, which uses parallel indexing of safety-critical documents alongside technical manuals in an offshore wind maintenance setting and demonstrates large gains in Safety Recall@K across BM25, dense, and hybrid retrieval paradigms. RAGuard is the closest structural precedent to the present system but is limited to a single industry domain with no Korean PSM statutory linkage. Klesel and Wittmann (2025) provide an enterprise RAG survey and identify “how RAG-based systems can fulfil regulatory requirements” as an open research direction, but leave actual regulatory corpus construction and engineering-calculation integration unexplored.</w:t>
            </w:r>
          </w:p>
        </w:tc>
      </w:tr>
      <w:tr>
        <w:tc>
          <w:tcPr>
            <w:tcW w:type="dxa" w:w="576"/>
            <w:shd w:val="clear" w:color="auto" w:fill="FFF2CC"/>
            <w:vAlign w:val="top"/>
          </w:tcPr>
          <w:p>
            <w:r>
              <w:rPr>
                <w:sz w:val="16"/>
              </w:rPr>
              <w:t>6</w:t>
            </w:r>
          </w:p>
        </w:tc>
        <w:tc>
          <w:tcPr>
            <w:tcW w:type="dxa" w:w="2880"/>
            <w:shd w:val="clear" w:color="auto" w:fill="FFF2CC"/>
            <w:vAlign w:val="top"/>
          </w:tcPr>
          <w:p>
            <w:r>
              <w:rPr>
                <w:b/>
                <w:sz w:val="16"/>
              </w:rPr>
              <w:t xml:space="preserve">[REVISED] </w:t>
            </w:r>
            <w:r>
              <w:rPr>
                <w:sz w:val="16"/>
              </w:rPr>
              <w:t>2.3 Multi-Discipline Maintenance and Asset Integrity</w:t>
            </w:r>
          </w:p>
        </w:tc>
        <w:tc>
          <w:tcPr>
            <w:tcW w:type="dxa" w:w="5760"/>
            <w:shd w:val="clear" w:color="auto" w:fill="FFF2CC"/>
            <w:vAlign w:val="top"/>
          </w:tcPr>
          <w:p>
            <w:r>
              <w:rPr>
                <w:sz w:val="16"/>
              </w:rPr>
              <w:t>(was: 2.3 Multi-discipline asset integrity)</w:t>
              <w:br/>
              <w:br/>
              <w:t>AI-based asset integrity frameworks (Jones et al., 2025) typically address single-asset or single-discipline scope. Predictive maintenance surveys (Hector and Panjanathan, 2024; Ait-Alla et al., 2022) cover sensor-driven monitoring without standards-based calculation verification or regulatory RAG.</w:t>
            </w:r>
          </w:p>
        </w:tc>
        <w:tc>
          <w:tcPr>
            <w:tcW w:type="dxa" w:w="5760"/>
            <w:shd w:val="clear" w:color="auto" w:fill="FFF2CC"/>
            <w:vAlign w:val="top"/>
          </w:tcPr>
          <w:p>
            <w:r>
              <w:rPr>
                <w:sz w:val="16"/>
              </w:rPr>
              <w:t>AI-based asset integrity management frameworks for offshore oil-and-gas pipelines (Jones et al., 2025) focus on single-asset scope and do not cover electrical, instrumentation, or structural disciplines. Hector and Panjanathan (2024) survey IoT-enabled predictive maintenance planning models in Industry 4.0 but do not address standards-based calculation engines or regulatory RAG integration. Ait-Alla et al. (2022) provide an overview of predictive maintenance workflows in Industry 4.0, without process-plant-specific seven-discipline integrated verification or PSM regulatory linkage.</w:t>
            </w:r>
          </w:p>
        </w:tc>
      </w:tr>
      <w:tr>
        <w:tc>
          <w:tcPr>
            <w:tcW w:type="dxa" w:w="576"/>
            <w:shd w:val="clear" w:color="auto" w:fill="FFF2CC"/>
            <w:vAlign w:val="top"/>
          </w:tcPr>
          <w:p>
            <w:r>
              <w:rPr>
                <w:sz w:val="16"/>
              </w:rPr>
              <w:t>7</w:t>
            </w:r>
          </w:p>
        </w:tc>
        <w:tc>
          <w:tcPr>
            <w:tcW w:type="dxa" w:w="2880"/>
            <w:shd w:val="clear" w:color="auto" w:fill="FFF2CC"/>
            <w:vAlign w:val="top"/>
          </w:tcPr>
          <w:p>
            <w:r>
              <w:rPr>
                <w:b/>
                <w:sz w:val="16"/>
              </w:rPr>
              <w:t xml:space="preserve">[REVISED] </w:t>
            </w:r>
            <w:r>
              <w:rPr>
                <w:sz w:val="16"/>
              </w:rPr>
              <w:t>2.4 Verification Methodology — N-Version Programming and K-Voting</w:t>
            </w:r>
          </w:p>
        </w:tc>
        <w:tc>
          <w:tcPr>
            <w:tcW w:type="dxa" w:w="5760"/>
            <w:shd w:val="clear" w:color="auto" w:fill="FFF2CC"/>
            <w:vAlign w:val="top"/>
          </w:tcPr>
          <w:p>
            <w:r>
              <w:rPr>
                <w:sz w:val="16"/>
              </w:rPr>
              <w:t>(was: 2.4 N-version programming and consensus verification)</w:t>
              <w:br/>
              <w:br/>
              <w:t>Avizienis (1985) established the theoretical basis for N-version programming. Our K-voting consensus layer adapts this principle to engineering calculation verification—three independently varied calculation paths must agree within 1% relative deviation. To our knowledge, this application is novel in plant engineering.</w:t>
            </w:r>
          </w:p>
        </w:tc>
        <w:tc>
          <w:tcPr>
            <w:tcW w:type="dxa" w:w="5760"/>
            <w:shd w:val="clear" w:color="auto" w:fill="FFF2CC"/>
            <w:vAlign w:val="top"/>
          </w:tcPr>
          <w:p>
            <w:r>
              <w:rPr>
                <w:sz w:val="16"/>
              </w:rPr>
              <w:t>The N-version programming literature originating with Avizienis (1985) establishes the theoretical basis for reliability improvement through consensus among independently executed computational paths. The Layer-2 K-voting consensus mechanism proposed in this study applies this principle to plant engineering calculation services with a 1% relative-deviation tolerance. To our knowledge, this is the first reported application of voting-style numerical consensus in standards-based plant engineering calculation tools.</w:t>
            </w:r>
          </w:p>
        </w:tc>
      </w:tr>
      <w:tr>
        <w:tc>
          <w:tcPr>
            <w:tcW w:type="dxa" w:w="576"/>
            <w:shd w:val="clear" w:color="auto" w:fill="FFF2CC"/>
            <w:vAlign w:val="top"/>
          </w:tcPr>
          <w:p>
            <w:r>
              <w:rPr>
                <w:sz w:val="16"/>
              </w:rPr>
              <w:t>8</w:t>
            </w:r>
          </w:p>
        </w:tc>
        <w:tc>
          <w:tcPr>
            <w:tcW w:type="dxa" w:w="2880"/>
            <w:shd w:val="clear" w:color="auto" w:fill="FFF2CC"/>
            <w:vAlign w:val="top"/>
          </w:tcPr>
          <w:p>
            <w:r>
              <w:rPr>
                <w:b/>
                <w:sz w:val="16"/>
              </w:rPr>
              <w:t xml:space="preserve">[REVISED] </w:t>
            </w:r>
            <w:r>
              <w:rPr>
                <w:sz w:val="16"/>
              </w:rPr>
              <w:t>2.5 Korean PSM Regulation and KOSHA</w:t>
            </w:r>
          </w:p>
        </w:tc>
        <w:tc>
          <w:tcPr>
            <w:tcW w:type="dxa" w:w="5760"/>
            <w:shd w:val="clear" w:color="auto" w:fill="FFF2CC"/>
            <w:vAlign w:val="top"/>
          </w:tcPr>
          <w:p>
            <w:r>
              <w:rPr>
                <w:sz w:val="16"/>
              </w:rPr>
              <w:t>(was: 2.5 Korean PSM and KOSHA in AI)</w:t>
              <w:br/>
              <w:br/>
              <w:t>Kim et al. (2022) apply text mining to KOSHA accident reports for classification. Lee and Ahn (2025) fine-tune an LLM on KOSHA construction safety guidelines for Q&amp;A. Neither integrates KOSHA data into an engineering calculation verification layer. No prior work has reported automated detection of jurisdiction compliance gaps between international codes and Korean PSM regulations.</w:t>
            </w:r>
          </w:p>
        </w:tc>
        <w:tc>
          <w:tcPr>
            <w:tcW w:type="dxa" w:w="5760"/>
            <w:shd w:val="clear" w:color="auto" w:fill="FFF2CC"/>
            <w:vAlign w:val="top"/>
          </w:tcPr>
          <w:p>
            <w:r>
              <w:rPr>
                <w:sz w:val="16"/>
              </w:rPr>
              <w:t>Korean plants subject to the Chemical Substances Control Act and the Occupational Safety and Health Act must fulfil regular safety review obligations for pressure equipment, rotating machinery, electrical systems, and structures under the KOSHA PSM framework. Kim et al. (2022) apply text mining to 1,300 KOSHA accident case reports for multi-cause accident classification, and Lee and Ahn (2025) fine-tune a large language model on KOSHA construction safety guidelines to build a regulation-grounded safety Q&amp;A prototype. Both works use KOSHA data primarily for document classification or question answering and do not extend to an engineering-calculation verification layer integrated with ASME/API engines. Robertson and Zaragoza (2009) provide the BM25 ranking foundation used in our retrieval layer. An automated multi-discipline engineering verification architecture specialised for KOSHA regulations has not been reported in the literature, and to our knowledge, the present work is the first systematic treatment of this problem.</w:t>
            </w:r>
          </w:p>
        </w:tc>
      </w:tr>
      <w:tr>
        <w:tc>
          <w:tcPr>
            <w:tcW w:type="dxa" w:w="576"/>
            <w:shd w:val="clear" w:color="auto" w:fill="E2F0D9"/>
            <w:vAlign w:val="top"/>
          </w:tcPr>
          <w:p>
            <w:r>
              <w:rPr>
                <w:sz w:val="16"/>
              </w:rPr>
              <w:t>9</w:t>
            </w:r>
          </w:p>
        </w:tc>
        <w:tc>
          <w:tcPr>
            <w:tcW w:type="dxa" w:w="2880"/>
            <w:shd w:val="clear" w:color="auto" w:fill="E2F0D9"/>
            <w:vAlign w:val="top"/>
          </w:tcPr>
          <w:p>
            <w:r>
              <w:rPr>
                <w:b/>
                <w:sz w:val="16"/>
              </w:rPr>
              <w:t xml:space="preserve">[NEW] </w:t>
            </w:r>
            <w:r>
              <w:rPr>
                <w:sz w:val="16"/>
              </w:rPr>
              <w:t>2.6 Position relative to HAZOP, RBI, and Digital Twin</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The proposed framework is intentionally complementary to — not a replacement for — established process-safety methods. HAZOP identifies process deviations through expert-led, multidisciplinary workshops; RBI (Risk-Based Inspection) optimises inspection strategy from equipment degradation models; Digital Twins maintain a live or near-live mirror of plant state. None of these methods natively encodes jurisdiction-specific statutory obligations. The present system fills that gap as a compliance co-pilot active at four touchpoints: before HAZOP (identifying mandatory regulatory nodes), during design review (detecting missing legal requirements), during RBI (checking whether local inspection triggers are satisfied), and during digital-twin operation (flagging live compliance gaps). We elaborate this positioning quantitatively in Section 7 and Table 8.</w:t>
            </w:r>
          </w:p>
        </w:tc>
      </w:tr>
      <w:tr>
        <w:tc>
          <w:tcPr>
            <w:tcW w:type="dxa" w:w="576"/>
            <w:shd w:val="clear" w:color="auto" w:fill="FFF2CC"/>
            <w:vAlign w:val="top"/>
          </w:tcPr>
          <w:p>
            <w:r>
              <w:rPr>
                <w:sz w:val="16"/>
              </w:rPr>
              <w:t>10</w:t>
            </w:r>
          </w:p>
        </w:tc>
        <w:tc>
          <w:tcPr>
            <w:tcW w:type="dxa" w:w="2880"/>
            <w:shd w:val="clear" w:color="auto" w:fill="FFF2CC"/>
            <w:vAlign w:val="top"/>
          </w:tcPr>
          <w:p>
            <w:r>
              <w:rPr>
                <w:b/>
                <w:sz w:val="16"/>
              </w:rPr>
              <w:t xml:space="preserve">[REVISED] </w:t>
            </w:r>
            <w:r>
              <w:rPr>
                <w:sz w:val="16"/>
              </w:rPr>
              <w:t>3 System Architecture</w:t>
            </w:r>
          </w:p>
        </w:tc>
        <w:tc>
          <w:tcPr>
            <w:tcW w:type="dxa" w:w="5760"/>
            <w:shd w:val="clear" w:color="auto" w:fill="FFF2CC"/>
            <w:vAlign w:val="top"/>
          </w:tcPr>
          <w:p>
            <w:r>
              <w:rPr>
                <w:sz w:val="16"/>
              </w:rPr>
            </w:r>
          </w:p>
        </w:tc>
        <w:tc>
          <w:tcPr>
            <w:tcW w:type="dxa" w:w="5760"/>
            <w:shd w:val="clear" w:color="auto" w:fill="FFF2CC"/>
            <w:vAlign w:val="top"/>
          </w:tcPr>
          <w:p>
            <w:r>
              <w:rPr>
                <w:sz w:val="16"/>
              </w:rPr>
              <w:t>The proposed platform consists of an orchestrator, seven domain services, supporting agents, an API layer, and a KOSHA regulatory layer. User requests — whether arising from design calculations, construction commissioning checks, or in-service inspection assessments — are received by a rule-based orchestrator that performs domain classification and routing (src/orchestrator/pipeline.py, src/orchestrator/state_machine.py). Each domain service follows an identical four-layer verification structure (src/services/&lt;discipline&gt;_service.py). Calculation outputs are passed to the cross-discipline validator (src/cross_discipline/validator.py) for coupling hazard analysis across ten predefined domain pairs. The KOSHA RAG layer (src/rag/local_kosha_rag.py) translates the domain calculation context into a Korean natural-language query, retrieves relevant regulatory passages from a local SQLite FTS5 index, and uses an on-premises Qwen model (qwen3:4b in the benchmarked configuration, served through Ollama) to generate structured regulatory grounding covering key conclusions, regulatory justification, and practical advisories. The final output is an integrated report containing calculation …[truncated]</w:t>
            </w:r>
          </w:p>
        </w:tc>
      </w:tr>
      <w:tr>
        <w:tc>
          <w:tcPr>
            <w:tcW w:type="dxa" w:w="576"/>
            <w:shd w:val="clear" w:color="auto" w:fill="FFF2CC"/>
            <w:vAlign w:val="top"/>
          </w:tcPr>
          <w:p>
            <w:r>
              <w:rPr>
                <w:sz w:val="16"/>
              </w:rPr>
              <w:t>11</w:t>
            </w:r>
          </w:p>
        </w:tc>
        <w:tc>
          <w:tcPr>
            <w:tcW w:type="dxa" w:w="2880"/>
            <w:shd w:val="clear" w:color="auto" w:fill="FFF2CC"/>
            <w:vAlign w:val="top"/>
          </w:tcPr>
          <w:p>
            <w:r>
              <w:rPr>
                <w:b/>
                <w:sz w:val="16"/>
              </w:rPr>
              <w:t xml:space="preserve">[REVISED] </w:t>
            </w:r>
            <w:r>
              <w:rPr>
                <w:sz w:val="16"/>
              </w:rPr>
              <w:t>4.1 Corpus Construction</w:t>
            </w:r>
          </w:p>
        </w:tc>
        <w:tc>
          <w:tcPr>
            <w:tcW w:type="dxa" w:w="5760"/>
            <w:shd w:val="clear" w:color="auto" w:fill="FFF2CC"/>
            <w:vAlign w:val="top"/>
          </w:tcPr>
          <w:p>
            <w:r>
              <w:rPr>
                <w:sz w:val="16"/>
              </w:rPr>
              <w:t>(was: 5.1 Corpus construction)</w:t>
              <w:br/>
              <w:br/>
              <w:t>Two KOSHA public APIs were used: Smart-search API: 18,576 rows of guide-section and statutory-provision metadata across categories 1–11, covering 1,327 guide documents (9,069 sections) and 3,102 statutory provisions. Guide API: 1,039 of the 1,327 guide documents were available as downloadable PDFs; these were parsed page-by-page and segmented into 13,084 retrieval-optimised chunks. The remaining 288 guides are metadata-only entries without downloadable PDF content in the KOSHA system. After deduplication and normalisation, the SQLite FTS5 index contains 16,186 searchable rows (13,084 guide chunks from parsed PDFs + 3,102 law-article entries from the smart-search API; 200 MB total).</w:t>
            </w:r>
          </w:p>
        </w:tc>
        <w:tc>
          <w:tcPr>
            <w:tcW w:type="dxa" w:w="5760"/>
            <w:shd w:val="clear" w:color="auto" w:fill="FFF2CC"/>
            <w:vAlign w:val="top"/>
          </w:tcPr>
          <w:p>
            <w:r>
              <w:rPr>
                <w:sz w:val="16"/>
              </w:rPr>
              <w:t>The KOSHA regulatory corpus was assembled from two public APIs of the Korean Open Data Portal (data.go.kr). The KOSHA smart-search endpoint (/B552468/srch/smartSearch) was used to harvest 18,576 rows of guide-section and statutory-provision metadata across ten categories — categories 1–9 and 11; category 10 is unused by the KOSHA Smart-search API and therefore omitted by construction. The harvest comprises 1,327 guide documents (9,069 sections) and 3,102 statutory-provision rows (datasets/kosha/manifest.json). The KOSHA Guide PDF endpoint was used to download 1,039 technical guideline PDFs, which were parsed page-by-page, segmented into 13,084 retrieval-optimised chunks, and normalised. After parsing and indexing, the SQLite FTS5 index used at retrieval time retains 16,174 searchable rows = 13,084 guide chunks + 3,090 indexed law-article entries. Twelve law-article rows were excluded by src/rag/local_kosha_rag.py:185 because their content field was empty in the source API response. Triage of these twelve (outputs/kosha_missing_articles_report.md) shows that four are repealed (삭제) provisions for which an empty body is expected and the row is correctly excluded; the remaining eight …[truncated]</w:t>
            </w:r>
          </w:p>
        </w:tc>
      </w:tr>
      <w:tr>
        <w:tc>
          <w:tcPr>
            <w:tcW w:type="dxa" w:w="576"/>
            <w:shd w:val="clear" w:color="auto" w:fill="FFF2CC"/>
            <w:vAlign w:val="top"/>
          </w:tcPr>
          <w:p>
            <w:r>
              <w:rPr>
                <w:sz w:val="16"/>
              </w:rPr>
              <w:t>12</w:t>
            </w:r>
          </w:p>
        </w:tc>
        <w:tc>
          <w:tcPr>
            <w:tcW w:type="dxa" w:w="2880"/>
            <w:shd w:val="clear" w:color="auto" w:fill="FFF2CC"/>
            <w:vAlign w:val="top"/>
          </w:tcPr>
          <w:p>
            <w:r>
              <w:rPr>
                <w:b/>
                <w:sz w:val="16"/>
              </w:rPr>
              <w:t xml:space="preserve">[REVISED] </w:t>
            </w:r>
            <w:r>
              <w:rPr>
                <w:sz w:val="16"/>
              </w:rPr>
              <w:t>4.2 Retrieval and Generation Pipeline</w:t>
            </w:r>
          </w:p>
        </w:tc>
        <w:tc>
          <w:tcPr>
            <w:tcW w:type="dxa" w:w="5760"/>
            <w:shd w:val="clear" w:color="auto" w:fill="FFF2CC"/>
            <w:vAlign w:val="top"/>
          </w:tcPr>
          <w:p>
            <w:r>
              <w:rPr>
                <w:sz w:val="16"/>
              </w:rPr>
              <w:t>(was: 5.3 Generation pipeline)</w:t>
              <w:br/>
              <w:br/>
              <w:t>Retrieved passages provide context for Qwen 2.5 7B Instruct, which generates structured Korean regulatory grounding: (1) key conclusion, (2) regulatory justification summary with guide/article citations, and (3) practical advisories. BM25 retrieval supports CPU-only deployment; semantic vector search is deferred to GPU-capable environments.</w:t>
            </w:r>
          </w:p>
        </w:tc>
        <w:tc>
          <w:tcPr>
            <w:tcW w:type="dxa" w:w="5760"/>
            <w:shd w:val="clear" w:color="auto" w:fill="FFF2CC"/>
            <w:vAlign w:val="top"/>
          </w:tcPr>
          <w:p>
            <w:r>
              <w:rPr>
                <w:sz w:val="16"/>
              </w:rPr>
              <w:t>At query time, the calculation context (material, fluid composition, design pressure / temperature, computed remaining life, red-flag set) is converted into a Korean natural-language query by a concept-aware query builder. Each query concept is expanded with curated synonyms (e.g., corrosion ↔ 부식 ↔ corrosion rate ↔ CR), concept clauses are joined with AND, and synonym variants within a concept are joined with OR. When the strict expansion returns no hits, a loose expanded OR fallback is invoked. Retrieved passages (top-k = 10 by default) are passed to the configured on-premises Qwen model (qwen3:4b in the benchmarked latency run) with a system prompt that constrains the output to three sections: (1) Key conclusion, (2) Regulatory justification summary referencing each retrieved passage by index, and (3) Practical advisories with citation indices. The model is instructed never to introduce regulatory facts not present in the supplied context. Every advisory must point back to a retrievable (reference_code, chunk_id) tuple in the SQLite index, giving citation-traceability precision of 100% by construction (Section 6.7). The current implementation uses BM25 to support CPU-only …[truncated]</w:t>
            </w:r>
          </w:p>
        </w:tc>
      </w:tr>
      <w:tr>
        <w:tc>
          <w:tcPr>
            <w:tcW w:type="dxa" w:w="576"/>
            <w:shd w:val="clear" w:color="auto" w:fill="E2F0D9"/>
            <w:vAlign w:val="top"/>
          </w:tcPr>
          <w:p>
            <w:r>
              <w:rPr>
                <w:sz w:val="16"/>
              </w:rPr>
              <w:t>13</w:t>
            </w:r>
          </w:p>
        </w:tc>
        <w:tc>
          <w:tcPr>
            <w:tcW w:type="dxa" w:w="2880"/>
            <w:shd w:val="clear" w:color="auto" w:fill="E2F0D9"/>
            <w:vAlign w:val="top"/>
          </w:tcPr>
          <w:p>
            <w:r>
              <w:rPr>
                <w:b/>
                <w:sz w:val="16"/>
              </w:rPr>
              <w:t xml:space="preserve">[NEW] </w:t>
            </w:r>
            <w:r>
              <w:rPr>
                <w:sz w:val="16"/>
              </w:rPr>
              <w:t>4.3 KOSHA Regulatory Grounding — Mandatory vs Guidance</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KOSHA-derived obligations differ in legal force. We distinguish two categories throughout this paper: Mandatory (mandatory): provisions of the Act (산업안전보건법), the Enforcement Decree, or the Rules on Occupational Safety and Health Standards (산업안전보건기준에 관한 규칙). Article 256 (“Corrosion prevention”) falls in this class. Non-fulfilment exposes the operator to administrative or criminal liability under the Act. Guidance (guidance): KOSHA technical guidelines (e.g., M-69-2012, C-C-23-2026, B-M-18-2026, C-C-75-2026). These are not legally binding by themselves, but are routinely incorporated by reference into PSM submission packages and ministerial inspections, and a measurable deviation from a guideline is treated as a material finding in PSM audits. Each retrieved passage carries this label as metadata.regulatory_class so downstream displays and reports can prioritise mandatory items (Table 5). The labels are derived from source_type in the parsing pipeline (law_article → mandatory; guide_section / guide_chunk → guidance) and are not inferred by the LLM.</w:t>
            </w:r>
          </w:p>
        </w:tc>
      </w:tr>
      <w:tr>
        <w:tc>
          <w:tcPr>
            <w:tcW w:type="dxa" w:w="576"/>
            <w:shd w:val="clear" w:color="auto" w:fill="E2F0D9"/>
            <w:vAlign w:val="top"/>
          </w:tcPr>
          <w:p>
            <w:r>
              <w:rPr>
                <w:sz w:val="16"/>
              </w:rPr>
              <w:t>14</w:t>
            </w:r>
          </w:p>
        </w:tc>
        <w:tc>
          <w:tcPr>
            <w:tcW w:type="dxa" w:w="2880"/>
            <w:shd w:val="clear" w:color="auto" w:fill="E2F0D9"/>
            <w:vAlign w:val="top"/>
          </w:tcPr>
          <w:p>
            <w:r>
              <w:rPr>
                <w:b/>
                <w:sz w:val="16"/>
              </w:rPr>
              <w:t xml:space="preserve">[NEW] </w:t>
            </w:r>
            <w:r>
              <w:rPr>
                <w:sz w:val="16"/>
              </w:rPr>
              <w:t>4.4 Why standard EPC workflows do not cover these obligations</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A standard EPC piping or vessel design package typically demonstrates compliance with the relevant ASME/API code by tabulating calculated thicknesses, allowable stresses, and inspection intervals against code limits. The package is reviewed by discipline leads who are expert in their international code but who are not, in general, expert in the Korean Rules on Occupational Safety and Health Standards and not in a position to know that, for example, a sour-chloride line triggers a corrosion-prevention obligation distinct from anything in B31.3. In Korean practice, KOSHA-side compliance is traditionally handled by a separate PSM consultant on a different documentation track, often after the EPC design has frozen. The two tracks meet only when KOSHA rejects a submission. The system proposed here moves that gap detection to the engineering-calculation moment itself.</w:t>
            </w:r>
          </w:p>
        </w:tc>
      </w:tr>
      <w:tr>
        <w:tc>
          <w:tcPr>
            <w:tcW w:type="dxa" w:w="576"/>
            <w:shd w:val="clear" w:color="auto" w:fill="FFF2CC"/>
            <w:vAlign w:val="top"/>
          </w:tcPr>
          <w:p>
            <w:r>
              <w:rPr>
                <w:sz w:val="16"/>
              </w:rPr>
              <w:t>15</w:t>
            </w:r>
          </w:p>
        </w:tc>
        <w:tc>
          <w:tcPr>
            <w:tcW w:type="dxa" w:w="2880"/>
            <w:shd w:val="clear" w:color="auto" w:fill="FFF2CC"/>
            <w:vAlign w:val="top"/>
          </w:tcPr>
          <w:p>
            <w:r>
              <w:rPr>
                <w:b/>
                <w:sz w:val="16"/>
              </w:rPr>
              <w:t xml:space="preserve">[REVISED] </w:t>
            </w:r>
            <w:r>
              <w:rPr>
                <w:sz w:val="16"/>
              </w:rPr>
              <w:t>5 Seven-Domain Calculation Engines and Four-Layer Verification</w:t>
            </w:r>
          </w:p>
        </w:tc>
        <w:tc>
          <w:tcPr>
            <w:tcW w:type="dxa" w:w="5760"/>
            <w:shd w:val="clear" w:color="auto" w:fill="FFF2CC"/>
            <w:vAlign w:val="top"/>
          </w:tcPr>
          <w:p>
            <w:r>
              <w:rPr>
                <w:sz w:val="16"/>
              </w:rPr>
              <w:t>(was: 2.1 Expert systems for engineering verification)</w:t>
              <w:br/>
              <w:br/>
              <w:t>Expert systems have a long history in engineering domains, from early rule-based diagnostic systems to modern AI-assisted design tools. In process safety, Selvam et al. (2026) review AI applications across hazard detection and risk assessment, reporting 30–60% accuracy gains while noting regulatory uncertainty as a primary limitation. Woo et al. (2025) survey LLM applications in process systems engineering but do not address multi-discipline verification or regulatory corpus integration. Elhosary et al. (2024) propose an LLM-assisted HAZOP system using RAG, limited to single-process scope. None of these works address the systematic detection of jurisdiction compliance gaps.</w:t>
            </w:r>
          </w:p>
        </w:tc>
        <w:tc>
          <w:tcPr>
            <w:tcW w:type="dxa" w:w="5760"/>
            <w:shd w:val="clear" w:color="auto" w:fill="FFF2CC"/>
            <w:vAlign w:val="top"/>
          </w:tcPr>
          <w:p>
            <w:r>
              <w:rPr>
                <w:sz w:val="16"/>
              </w:rPr>
            </w:r>
          </w:p>
        </w:tc>
      </w:tr>
      <w:tr>
        <w:tc>
          <w:tcPr>
            <w:tcW w:type="dxa" w:w="576"/>
            <w:shd w:val="clear" w:color="auto" w:fill="FFF2CC"/>
            <w:vAlign w:val="top"/>
          </w:tcPr>
          <w:p>
            <w:r>
              <w:rPr>
                <w:sz w:val="16"/>
              </w:rPr>
              <w:t>16</w:t>
            </w:r>
          </w:p>
        </w:tc>
        <w:tc>
          <w:tcPr>
            <w:tcW w:type="dxa" w:w="2880"/>
            <w:shd w:val="clear" w:color="auto" w:fill="FFF2CC"/>
            <w:vAlign w:val="top"/>
          </w:tcPr>
          <w:p>
            <w:r>
              <w:rPr>
                <w:b/>
                <w:sz w:val="16"/>
              </w:rPr>
              <w:t xml:space="preserve">[REVISED] </w:t>
            </w:r>
            <w:r>
              <w:rPr>
                <w:sz w:val="16"/>
              </w:rPr>
              <w:t>5.1 Domain Calculation Engines</w:t>
            </w:r>
          </w:p>
        </w:tc>
        <w:tc>
          <w:tcPr>
            <w:tcW w:type="dxa" w:w="5760"/>
            <w:shd w:val="clear" w:color="auto" w:fill="FFF2CC"/>
            <w:vAlign w:val="top"/>
          </w:tcPr>
          <w:p>
            <w:r>
              <w:rPr>
                <w:sz w:val="16"/>
              </w:rPr>
              <w:t>(was: 4.2 Domain engines)</w:t>
              <w:br/>
              <w:br/>
            </w:r>
          </w:p>
        </w:tc>
        <w:tc>
          <w:tcPr>
            <w:tcW w:type="dxa" w:w="5760"/>
            <w:shd w:val="clear" w:color="auto" w:fill="FFF2CC"/>
            <w:vAlign w:val="top"/>
          </w:tcPr>
          <w:p>
            <w:r>
              <w:rPr>
                <w:sz w:val="16"/>
              </w:rPr>
              <w:t>The seven domain calculation engines implement the standards listed in Table 1. Engine source files are under src/services/&lt;discipline&gt;_service.py; per-engine standard mappings and citation tables are in src/standards/. Table 1. Domain Calculation Engines and Standards Each engine follows a common service pattern: input schema parsing → standards-based calculation → four-layer verification → result serialisation. The engines support both design-phase calculations (e.g., minimum required wall thickness for a new piping system) and in-service assessment (e.g., remaining life and inspection interval for an operating vessel). Orchestration is performed by a deterministic state machine (src/orchestrator/state_machine.py), which routes a request to one or more discipline services and then to the cross-discipline validator.</w:t>
            </w:r>
          </w:p>
        </w:tc>
      </w:tr>
      <w:tr>
        <w:tc>
          <w:tcPr>
            <w:tcW w:type="dxa" w:w="576"/>
            <w:shd w:val="clear" w:color="auto" w:fill="FFF2CC"/>
            <w:vAlign w:val="top"/>
          </w:tcPr>
          <w:p>
            <w:r>
              <w:rPr>
                <w:sz w:val="16"/>
              </w:rPr>
              <w:t>17</w:t>
            </w:r>
          </w:p>
        </w:tc>
        <w:tc>
          <w:tcPr>
            <w:tcW w:type="dxa" w:w="2880"/>
            <w:shd w:val="clear" w:color="auto" w:fill="FFF2CC"/>
            <w:vAlign w:val="top"/>
          </w:tcPr>
          <w:p>
            <w:r>
              <w:rPr>
                <w:b/>
                <w:sz w:val="16"/>
              </w:rPr>
              <w:t xml:space="preserve">[REVISED] </w:t>
            </w:r>
            <w:r>
              <w:rPr>
                <w:sz w:val="16"/>
              </w:rPr>
              <w:t>5.2 Four-Layer Hybrid Verification Model</w:t>
            </w:r>
          </w:p>
        </w:tc>
        <w:tc>
          <w:tcPr>
            <w:tcW w:type="dxa" w:w="5760"/>
            <w:shd w:val="clear" w:color="auto" w:fill="FFF2CC"/>
            <w:vAlign w:val="top"/>
          </w:tcPr>
          <w:p>
            <w:r>
              <w:rPr>
                <w:sz w:val="16"/>
              </w:rPr>
            </w:r>
          </w:p>
        </w:tc>
        <w:tc>
          <w:tcPr>
            <w:tcW w:type="dxa" w:w="5760"/>
            <w:shd w:val="clear" w:color="auto" w:fill="FFF2CC"/>
            <w:vAlign w:val="top"/>
          </w:tcPr>
          <w:p>
            <w:r>
              <w:rPr>
                <w:sz w:val="16"/>
              </w:rPr>
              <w:t>Layer 1 — Input Validation. Checks mandatory field presence, unit-contract compliance (every numerical field carries an explicit unit such as MPa, mm, °C), and domain-specific range constraints (e.g., design pressure within ASME Section II material allowable). Missing critical fields or unit inconsistencies trigger a blocking error that prevents downstream calculation. Layer 2 — K-Voting Consensus. Three calculation paths execute in parallel, each using deliberately varied numerical strategies — rounding order, interpolation method, and intermediate-precision handling. The maximum relative deviation among outputs must not exceed 1%. If the threshold is exceeded, a tiebreaker path is invoked; persistent consensus failure raises a no_consensus flag and requests human review. The mechanism is motivated by the N-version programming principle (Avizienis, 1985) but is restricted to numerical-consistency verification rather than full implementation independence; design rationale and threshold sensitivity are discussed in §5.4. Layer 3 — Physics and Code Compliance. Domain-specific red flags are enforced. For example, a measured thickness below the computed minimum required thickness …[truncated]</w:t>
            </w:r>
          </w:p>
        </w:tc>
      </w:tr>
      <w:tr>
        <w:tc>
          <w:tcPr>
            <w:tcW w:type="dxa" w:w="576"/>
            <w:shd w:val="clear" w:color="auto" w:fill="FFF2CC"/>
            <w:vAlign w:val="top"/>
          </w:tcPr>
          <w:p>
            <w:r>
              <w:rPr>
                <w:sz w:val="16"/>
              </w:rPr>
              <w:t>18</w:t>
            </w:r>
          </w:p>
        </w:tc>
        <w:tc>
          <w:tcPr>
            <w:tcW w:type="dxa" w:w="2880"/>
            <w:shd w:val="clear" w:color="auto" w:fill="FFF2CC"/>
            <w:vAlign w:val="top"/>
          </w:tcPr>
          <w:p>
            <w:r>
              <w:rPr>
                <w:b/>
                <w:sz w:val="16"/>
              </w:rPr>
              <w:t xml:space="preserve">[REVISED] </w:t>
            </w:r>
            <w:r>
              <w:rPr>
                <w:sz w:val="16"/>
              </w:rPr>
              <w:t>5.3 Cross-Discipline Consistency Validator</w:t>
            </w:r>
          </w:p>
        </w:tc>
        <w:tc>
          <w:tcPr>
            <w:tcW w:type="dxa" w:w="5760"/>
            <w:shd w:val="clear" w:color="auto" w:fill="FFF2CC"/>
            <w:vAlign w:val="top"/>
          </w:tcPr>
          <w:p>
            <w:r>
              <w:rPr>
                <w:sz w:val="16"/>
              </w:rPr>
              <w:t>(was: 6.5 Cross-discipline coupling validator)</w:t>
              <w:br/>
              <w:br/>
              <w:t>Ten predefined domain pairs with coupling checks: Threshold tuning over 50 optimisation rounds achieved: standard-case blocking rate 0.0 (no false positives on nominal cases), boundary/failure blocking rate 1.0, weighted accuracy 1.0, and hard-block recall 1.0.</w:t>
            </w:r>
          </w:p>
        </w:tc>
        <w:tc>
          <w:tcPr>
            <w:tcW w:type="dxa" w:w="5760"/>
            <w:shd w:val="clear" w:color="auto" w:fill="FFF2CC"/>
            <w:vAlign w:val="top"/>
          </w:tcPr>
          <w:p>
            <w:r>
              <w:rPr>
                <w:sz w:val="16"/>
              </w:rPr>
              <w:t>The cross-discipline validator (src/cross_discipline/validator.py) performs coupling checks across ten predefined domain pairs, including piping–vessel nozzle interface margin mismatches, electrical–rotating equipment harmonic distortion and bearing health coupling, and civil–rotating equipment foundation settlement and vibration linkage. Threshold tuning was conducted over fifty optimisation rounds; the optimal profile achieves a standard-case blocking rate of 0.0, a boundary-case and failure-mode blocking rate of 1.0, and a weighted accuracy of 1.0. The current pair set is documented in docs/specs/MASTER_ORCHESTRATOR_SPEC_V0.1.md. Extension to additional pairs is deferred to future work. Figure 3. Cross-discipline coupling logic: ten predefined domain pairs (piping-vessel, electrical-rotating, civil-rotating, instrumentation-electrical, etc.), trigger conditions, and downstream effect of a coupling-block decision on the orchestration pipeline.</w:t>
            </w:r>
          </w:p>
        </w:tc>
      </w:tr>
      <w:tr>
        <w:tc>
          <w:tcPr>
            <w:tcW w:type="dxa" w:w="576"/>
            <w:shd w:val="clear" w:color="auto" w:fill="E2F0D9"/>
            <w:vAlign w:val="top"/>
          </w:tcPr>
          <w:p>
            <w:r>
              <w:rPr>
                <w:sz w:val="16"/>
              </w:rPr>
              <w:t>19</w:t>
            </w:r>
          </w:p>
        </w:tc>
        <w:tc>
          <w:tcPr>
            <w:tcW w:type="dxa" w:w="2880"/>
            <w:shd w:val="clear" w:color="auto" w:fill="E2F0D9"/>
            <w:vAlign w:val="top"/>
          </w:tcPr>
          <w:p>
            <w:r>
              <w:rPr>
                <w:b/>
                <w:sz w:val="16"/>
              </w:rPr>
              <w:t xml:space="preserve">[NEW] </w:t>
            </w:r>
            <w:r>
              <w:rPr>
                <w:sz w:val="16"/>
              </w:rPr>
              <w:t>5.4 Why three paths and a 1% tolerance? — K-voting design rationale</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Three K-voting design choices warrant explicit justification: the number of paths, the tolerance, and the scope of independence. Number of paths. Two paths can detect inconsistency but cannot resolve it (the system has no tiebreaker). Three paths give a majority-vote semantics: the typical failure mode in numerical engineering code is one path drifting from two that agree, which a 3-path configuration captures with a single comparison. Five or more paths would marginally improve fault coverage but at proportionally higher implementation cost and synchronisation overhead; for the deterministic, code-bound calculations performed here, the marginal benefit beyond 3 is small. The choice is consistent with the original 3-version baseline studied by Avizienis (1985). Tolerance. The 1% relative-deviation threshold is calibrated against the tightest acceptance tolerance in the golden dataset (±1% for critical cases; §6.1). A tolerance smaller than this would generate false-positive consensus failures arising from legitimate floating-point rounding differences between the three paths; a larger tolerance would mask real coding errors. A formal threshold-sensitivity sweep (e.g., 0.1% / 0.5% …[truncated]</w:t>
            </w:r>
          </w:p>
        </w:tc>
      </w:tr>
      <w:tr>
        <w:tc>
          <w:tcPr>
            <w:tcW w:type="dxa" w:w="576"/>
            <w:shd w:val="clear" w:color="auto" w:fill="FFF2CC"/>
            <w:vAlign w:val="top"/>
          </w:tcPr>
          <w:p>
            <w:r>
              <w:rPr>
                <w:sz w:val="16"/>
              </w:rPr>
              <w:t>20</w:t>
            </w:r>
          </w:p>
        </w:tc>
        <w:tc>
          <w:tcPr>
            <w:tcW w:type="dxa" w:w="2880"/>
            <w:shd w:val="clear" w:color="auto" w:fill="FFF2CC"/>
            <w:vAlign w:val="top"/>
          </w:tcPr>
          <w:p>
            <w:r>
              <w:rPr>
                <w:b/>
                <w:sz w:val="16"/>
              </w:rPr>
              <w:t xml:space="preserve">[REVISED] </w:t>
            </w:r>
            <w:r>
              <w:rPr>
                <w:sz w:val="16"/>
              </w:rPr>
              <w:t>6 Experiments and Evaluation</w:t>
            </w:r>
          </w:p>
        </w:tc>
        <w:tc>
          <w:tcPr>
            <w:tcW w:type="dxa" w:w="5760"/>
            <w:shd w:val="clear" w:color="auto" w:fill="FFF2CC"/>
            <w:vAlign w:val="top"/>
          </w:tcPr>
          <w:p>
            <w:r>
              <w:rPr>
                <w:sz w:val="16"/>
              </w:rPr>
            </w:r>
          </w:p>
        </w:tc>
        <w:tc>
          <w:tcPr>
            <w:tcW w:type="dxa" w:w="5760"/>
            <w:shd w:val="clear" w:color="auto" w:fill="FFF2CC"/>
            <w:vAlign w:val="top"/>
          </w:tcPr>
          <w:p>
            <w:r>
              <w:rPr>
                <w:sz w:val="16"/>
              </w:rPr>
              <w:t>The evaluation programme comprises seven analyses: (6.1) calculation-accuracy verification on the golden dataset, framed as implementation verification, not predictive validation; (6.2) end-to-end pipeline behaviour; (6.3) cross-discipline ablation for RQ1; (6.4) KOSHA RAG case studies for RQ2; (6.5) curated retrieval benchmark; (6.6) industry-baseline comparison and internal four-layer ablation; (6.7) citation-traceability and negative-case evidence.</w:t>
            </w:r>
          </w:p>
        </w:tc>
      </w:tr>
      <w:tr>
        <w:tc>
          <w:tcPr>
            <w:tcW w:type="dxa" w:w="576"/>
            <w:shd w:val="clear" w:color="auto" w:fill="FFF2CC"/>
            <w:vAlign w:val="top"/>
          </w:tcPr>
          <w:p>
            <w:r>
              <w:rPr>
                <w:sz w:val="16"/>
              </w:rPr>
              <w:t>21</w:t>
            </w:r>
          </w:p>
        </w:tc>
        <w:tc>
          <w:tcPr>
            <w:tcW w:type="dxa" w:w="2880"/>
            <w:shd w:val="clear" w:color="auto" w:fill="FFF2CC"/>
            <w:vAlign w:val="top"/>
          </w:tcPr>
          <w:p>
            <w:r>
              <w:rPr>
                <w:b/>
                <w:sz w:val="16"/>
              </w:rPr>
              <w:t xml:space="preserve">[REVISED] </w:t>
            </w:r>
            <w:r>
              <w:rPr>
                <w:sz w:val="16"/>
              </w:rPr>
              <w:t>6.1 Calculation Accuracy on the Golden Dataset (implementation verification)</w:t>
            </w:r>
          </w:p>
        </w:tc>
        <w:tc>
          <w:tcPr>
            <w:tcW w:type="dxa" w:w="5760"/>
            <w:shd w:val="clear" w:color="auto" w:fill="FFF2CC"/>
            <w:vAlign w:val="top"/>
          </w:tcPr>
          <w:p>
            <w:r>
              <w:rPr>
                <w:sz w:val="16"/>
              </w:rPr>
              <w:t>(was: 6.4 Layer 4 — Reverse verification)</w:t>
              <w:br/>
              <w:br/>
              <w:t>Key inputs are back-calculated from outputs and compared against originals: - Deviation &lt; 2%: consistent (pass). - Deviation 2–5%: warning with audit note. - Deviation &gt; 5%: escalation with confidence downgrade. This layer detects internal inconsistencies that may indicate formula errors, unit conversion mistakes, or data corruption.</w:t>
            </w:r>
          </w:p>
        </w:tc>
        <w:tc>
          <w:tcPr>
            <w:tcW w:type="dxa" w:w="5760"/>
            <w:shd w:val="clear" w:color="auto" w:fill="FFF2CC"/>
            <w:vAlign w:val="top"/>
          </w:tcPr>
          <w:p>
            <w:r>
              <w:rPr>
                <w:sz w:val="16"/>
              </w:rPr>
              <w:t>A total of 220 synthetic golden cases were constructed across seven disciplines (Table 2): 55% standard cases, 25% boundary cases, 17% failure-mode cases, and 2% composite multi-condition cases. Each case was derived from reference calculation examples in the applicable standards and standard exemplars (e.g., ASME, 2022; API, 2020). Boundary and failure-mode cases were generated by systematic parameter perturbation of the corresponding reference example: for each case, the perturbed parameter (e.g., wall thickness reduced toward the calculated minimum, fluid chloride concentration raised across the corrosion-rate threshold) is recorded with the expected red-flag class. Acceptance thresholds were set at ±1% for critical cases and ±3% for non-critical cases, with target red-flag detection rate 100% and standard-citation coverage 100%. Runtime validation achieved 220/220 case passes across all seven disciplines (outputs/verification_report_runtime.md); accuracy, citation accuracy, and red-flag detection rate were each recorded at 1.0000. We deliberately frame these results as implementation verification, not predictive validation, in the sense developed in recent methodological …[truncated]</w:t>
            </w:r>
          </w:p>
        </w:tc>
      </w:tr>
      <w:tr>
        <w:tc>
          <w:tcPr>
            <w:tcW w:type="dxa" w:w="576"/>
            <w:shd w:val="clear" w:color="auto" w:fill="FFF2CC"/>
            <w:vAlign w:val="top"/>
          </w:tcPr>
          <w:p>
            <w:r>
              <w:rPr>
                <w:sz w:val="16"/>
              </w:rPr>
              <w:t>22</w:t>
            </w:r>
          </w:p>
        </w:tc>
        <w:tc>
          <w:tcPr>
            <w:tcW w:type="dxa" w:w="2880"/>
            <w:shd w:val="clear" w:color="auto" w:fill="FFF2CC"/>
            <w:vAlign w:val="top"/>
          </w:tcPr>
          <w:p>
            <w:r>
              <w:rPr>
                <w:b/>
                <w:sz w:val="16"/>
              </w:rPr>
              <w:t xml:space="preserve">[REVISED] </w:t>
            </w:r>
            <w:r>
              <w:rPr>
                <w:sz w:val="16"/>
              </w:rPr>
              <w:t>6.2 Seven-Discipline Pipeline Evaluation</w:t>
            </w:r>
          </w:p>
        </w:tc>
        <w:tc>
          <w:tcPr>
            <w:tcW w:type="dxa" w:w="5760"/>
            <w:shd w:val="clear" w:color="auto" w:fill="FFF2CC"/>
            <w:vAlign w:val="top"/>
          </w:tcPr>
          <w:p>
            <w:r>
              <w:rPr>
                <w:sz w:val="16"/>
              </w:rPr>
              <w:t>(was: 7.2 Seven-discipline pipeline)</w:t>
              <w:br/>
              <w:br/>
              <w:t>Across 43 pipeline scenarios: completion rate 0.6512, blocking rate 0.3488. Nominal and standard-aligned cases: 1.0000 completion. Boundary and failure cases: 1.0000 blocking. This confirms correct hazard identification without false positives on clean inputs.</w:t>
            </w:r>
          </w:p>
        </w:tc>
        <w:tc>
          <w:tcPr>
            <w:tcW w:type="dxa" w:w="5760"/>
            <w:shd w:val="clear" w:color="auto" w:fill="FFF2CC"/>
            <w:vAlign w:val="top"/>
          </w:tcPr>
          <w:p>
            <w:r>
              <w:rPr>
                <w:sz w:val="16"/>
              </w:rPr>
              <w:t>Across 43 pipeline scenarios run end-to-end through the orchestrator, the platform recorded a completion rate of 0.6512 and a blocking rate of 0.3488. Nominal and standard-aligned cases achieved a completion rate of 1.0000; boundary-aligned and failure-mode-aligned cases were blocked at a rate of 1.0000, confirming correct hazard identification by the integrated stack. (Source: outputs/seven_pipeline_report.md, generated by scripts/benchmark_seven_pipeline.py over the seven datasets/golden_standards/*_golden_dataset_v1.json files; this 43-scenario set measures end-to-end pipeline behaviour and is distinct from the 60-scenario cross-discipline ablation set of §6.3, which is constructed by scripts/benchmark_cross_discipline_ablation.py via the aligned_* and mixed_* index builders against the same underlying golden datasets.)</w:t>
            </w:r>
          </w:p>
        </w:tc>
      </w:tr>
      <w:tr>
        <w:tc>
          <w:tcPr>
            <w:tcW w:type="dxa" w:w="576"/>
            <w:shd w:val="clear" w:color="auto" w:fill="FFF2CC"/>
            <w:vAlign w:val="top"/>
          </w:tcPr>
          <w:p>
            <w:r>
              <w:rPr>
                <w:sz w:val="16"/>
              </w:rPr>
              <w:t>23</w:t>
            </w:r>
          </w:p>
        </w:tc>
        <w:tc>
          <w:tcPr>
            <w:tcW w:type="dxa" w:w="2880"/>
            <w:shd w:val="clear" w:color="auto" w:fill="FFF2CC"/>
            <w:vAlign w:val="top"/>
          </w:tcPr>
          <w:p>
            <w:r>
              <w:rPr>
                <w:b/>
                <w:sz w:val="16"/>
              </w:rPr>
              <w:t xml:space="preserve">[REVISED] </w:t>
            </w:r>
            <w:r>
              <w:rPr>
                <w:sz w:val="16"/>
              </w:rPr>
              <w:t>6.3 Cross-Discipline Validator Ablation (RQ1)</w:t>
            </w:r>
          </w:p>
        </w:tc>
        <w:tc>
          <w:tcPr>
            <w:tcW w:type="dxa" w:w="5760"/>
            <w:shd w:val="clear" w:color="auto" w:fill="FFF2CC"/>
            <w:vAlign w:val="top"/>
          </w:tcPr>
          <w:p>
            <w:r>
              <w:rPr>
                <w:sz w:val="16"/>
              </w:rPr>
              <w:t>(was: 7.3 Cross-discipline validator ablation (RQ1))</w:t>
              <w:br/>
              <w:br/>
              <w:t>Finding (RQ1): Cross-discipline validation adds 25 blocked scenarios (+41.7%) that single-domain calculations cannot detect. Boundary and failure subsets achieve perfect blocking (1.0). Zero false positives on standard-aligned cases. The baseline (validator OFF) blocking rate of 0/60 requires explanation. The 60 ablation scenarios were specifically designed to test inter-discipline coupling hazards — e.g., piping nozzle loads exceeding vessel reinforcement margins, or foundation settlement propagating into rotating equipment misalignment. Each individual discipline’s Layer 3 physics checks pass because the inputs are within single-domain tolerances; it is only the combination across domain boundaries that creates a hazardous condition. This is precisely the class of risk that discipline-siloed tools systematically miss in practice. The baseline of zero is therefore not an artefact of weak scenario design but reflects the structural limitation being tested: single-domain calculations are blind to cross-discipline coupling.</w:t>
            </w:r>
          </w:p>
        </w:tc>
        <w:tc>
          <w:tcPr>
            <w:tcW w:type="dxa" w:w="5760"/>
            <w:shd w:val="clear" w:color="auto" w:fill="FFF2CC"/>
            <w:vAlign w:val="top"/>
          </w:tcPr>
          <w:p>
            <w:r>
              <w:rPr>
                <w:sz w:val="16"/>
              </w:rPr>
              <w:t>To quantify the incremental contribution of cross-discipline coupling logic, we evaluated the same 60 benchmark scenarios with the cross-discipline validator disabled and enabled (outputs/cross_discipline_ablation_report.md). With the validator disabled, 0/60 scenarios were blocked. With the validator enabled, 26/60 scenarios were blocked, an absolute increase of +26 and a blocking-ratio increase of +0.4333. The most informative subsets are aligned boundary and aligned failure, where blocking rises from 0.0 to 1.0 in both cases. Mixed scenarios also show non-trivial deltas: mixed_first20 rises from 0.0 to 0.15, and mixed_random20 rises from 0.0 to 0.65. Table 3. Cross-Discipline Validator Ablation (RQ1) Figure 4. Cross-discipline ablation (60 scenarios): blocked counts by scenario set, validator OFF vs ON. Total rises 0 → 26 (+43.3%); aligned-boundary and aligned-failure subsets rise from 0/n to n/n; mixed sets show partial coverage proportional to coupling density. Significance of detections. Per-failure-mode partition of the 26 blocked scenarios (outputs/ablation_failure_mode_partition.md, computed by scripts/dump_ablation_hits.py): Detections concentrate in the piping-vessel …[truncated]</w:t>
            </w:r>
          </w:p>
        </w:tc>
      </w:tr>
      <w:tr>
        <w:tc>
          <w:tcPr>
            <w:tcW w:type="dxa" w:w="576"/>
            <w:shd w:val="clear" w:color="auto" w:fill="FFF2CC"/>
            <w:vAlign w:val="top"/>
          </w:tcPr>
          <w:p>
            <w:r>
              <w:rPr>
                <w:sz w:val="16"/>
              </w:rPr>
              <w:t>24</w:t>
            </w:r>
          </w:p>
        </w:tc>
        <w:tc>
          <w:tcPr>
            <w:tcW w:type="dxa" w:w="2880"/>
            <w:shd w:val="clear" w:color="auto" w:fill="FFF2CC"/>
            <w:vAlign w:val="top"/>
          </w:tcPr>
          <w:p>
            <w:r>
              <w:rPr>
                <w:b/>
                <w:sz w:val="16"/>
              </w:rPr>
              <w:t xml:space="preserve">[REVISED] </w:t>
            </w:r>
            <w:r>
              <w:rPr>
                <w:sz w:val="16"/>
              </w:rPr>
              <w:t>6.4 KOSHA RAG Regulatory Grounding — Three Cases (RQ2)</w:t>
            </w:r>
          </w:p>
        </w:tc>
        <w:tc>
          <w:tcPr>
            <w:tcW w:type="dxa" w:w="5760"/>
            <w:shd w:val="clear" w:color="auto" w:fill="FFF2CC"/>
            <w:vAlign w:val="top"/>
          </w:tcPr>
          <w:p>
            <w:r>
              <w:rPr>
                <w:sz w:val="16"/>
              </w:rPr>
              <w:t>(was: 7.4 KOSHA RAG retrieval benchmark (RQ2))</w:t>
              <w:br/>
              <w:br/>
              <w:t>The benchmark comprises 50 queries organised as five regulatory target groups (10 queries each), where each group targets a specific KOSHA guide or statutory provision relevant to the three manuscript case studies: M-69-2012 (remaining life assessment), C-C-23-2026 (RBI regulation), B-M-18-2026 (piping life management), C-C-75-2026 (corrosion risk assessment), and Article 256 (corrosion prevention). Within each group, the 10 queries vary systematically across: Korean full-text phrasing, English translation, mixed Korean–English, abbreviation-heavy variants, and paraphrased formulations. This design measures retrieval robustness across query formulation styles rather than breadth of regulatory coverage. The query set is released for independent inspection. Concept-aware synonym expansion yields +68% relative improvement in Recall@1 and +38% relative improvement in MRR@10.</w:t>
            </w:r>
          </w:p>
        </w:tc>
        <w:tc>
          <w:tcPr>
            <w:tcW w:type="dxa" w:w="5760"/>
            <w:shd w:val="clear" w:color="auto" w:fill="FFF2CC"/>
            <w:vAlign w:val="top"/>
          </w:tcPr>
          <w:p>
            <w:r>
              <w:rPr>
                <w:sz w:val="16"/>
              </w:rPr>
              <w:t>Three representative cases demonstrate the incremental regulatory value of the KOSHA RAG layer. The three cases were selected from the vessel and piping disciplines because these are the two most common service envelopes in petrochemical EPC packages and because the KOSHA technical guideline coverage in the indexed corpus is densest for pressure-bearing equipment; cross-discipline coverage in case studies is documented as future work (§8 Limitation 4). Results are summarised in Table 4; KOSHA citation quality and regulatory class (mandatory vs guidance) are detailed in Table 5.</w:t>
            </w:r>
          </w:p>
        </w:tc>
      </w:tr>
      <w:tr>
        <w:tc>
          <w:tcPr>
            <w:tcW w:type="dxa" w:w="576"/>
            <w:shd w:val="clear" w:color="auto" w:fill="E2F0D9"/>
            <w:vAlign w:val="top"/>
          </w:tcPr>
          <w:p>
            <w:r>
              <w:rPr>
                <w:sz w:val="16"/>
              </w:rPr>
              <w:t>25</w:t>
            </w:r>
          </w:p>
        </w:tc>
        <w:tc>
          <w:tcPr>
            <w:tcW w:type="dxa" w:w="2880"/>
            <w:shd w:val="clear" w:color="auto" w:fill="E2F0D9"/>
            <w:vAlign w:val="top"/>
          </w:tcPr>
          <w:p>
            <w:r>
              <w:rPr>
                <w:b/>
                <w:sz w:val="16"/>
              </w:rPr>
              <w:t xml:space="preserve">[NEW] </w:t>
            </w:r>
            <w:r>
              <w:rPr>
                <w:sz w:val="16"/>
              </w:rPr>
              <w:t>Case 1 — Vessel Remaining Life (VES-GOLD-001)</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For an SA-516-70 pressure vessel (design pressure 1.858 MPa, 217.3 °C, current thickness 44.82 mm), the calculation engine computes a required shell thickness of 14.99 mm under ASME Section VIII UG-27, a remaining life of 136.3 years, and an API 510 inspection interval of 10 years, with no red flags raised. The KOSHA RAG layer retrieves M-69-2012 (Technical Guideline for Remaining Life Assessment of Pressure Vessels) as the top-ranked passage and identifies guidance-derived documentation expectations that are typically triggered when remaining life exceeds a defined threshold — expectations absent from the engine’s output. Why this matters: even a “very safe” vessel under ASME triggers a KOSHA documentation expectation that, if skipped, is routinely cited as a material finding in PSM audits.</w:t>
            </w:r>
          </w:p>
        </w:tc>
      </w:tr>
      <w:tr>
        <w:tc>
          <w:tcPr>
            <w:tcW w:type="dxa" w:w="576"/>
            <w:shd w:val="clear" w:color="auto" w:fill="E2F0D9"/>
            <w:vAlign w:val="top"/>
          </w:tcPr>
          <w:p>
            <w:r>
              <w:rPr>
                <w:sz w:val="16"/>
              </w:rPr>
              <w:t>26</w:t>
            </w:r>
          </w:p>
        </w:tc>
        <w:tc>
          <w:tcPr>
            <w:tcW w:type="dxa" w:w="2880"/>
            <w:shd w:val="clear" w:color="auto" w:fill="E2F0D9"/>
            <w:vAlign w:val="top"/>
          </w:tcPr>
          <w:p>
            <w:r>
              <w:rPr>
                <w:b/>
                <w:sz w:val="16"/>
              </w:rPr>
              <w:t xml:space="preserve">[NEW] </w:t>
            </w:r>
            <w:r>
              <w:rPr>
                <w:sz w:val="16"/>
              </w:rPr>
              <w:t>Case 2 — RBI Planning (VES-GOLD-009)</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For a vessel with a remaining life of 40.2 years (SA-516-70, 1.891 MPa, 241.9 °C), the engine recommends a 10-year inspection interval per API 510. The KOSHA RAG layer retrieves C-C-23-2026 (Technical Regulation for Equipment Reliability via Risk-Based Inspection) and B-M-18-2026 (Technical Regulation for Piping Life Management), identifying guidance-derived RBI review triggers routinely used in Korean PSM submissions. Why this matters: API 510’s calendar-based interval can be longer than the KOSHA RBI trigger-driven interval; following only API 510 leaves an under-inspection gap.</w:t>
            </w:r>
          </w:p>
        </w:tc>
      </w:tr>
      <w:tr>
        <w:tc>
          <w:tcPr>
            <w:tcW w:type="dxa" w:w="576"/>
            <w:shd w:val="clear" w:color="auto" w:fill="FFF2CC"/>
            <w:vAlign w:val="top"/>
          </w:tcPr>
          <w:p>
            <w:r>
              <w:rPr>
                <w:sz w:val="16"/>
              </w:rPr>
              <w:t>27</w:t>
            </w:r>
          </w:p>
        </w:tc>
        <w:tc>
          <w:tcPr>
            <w:tcW w:type="dxa" w:w="2880"/>
            <w:shd w:val="clear" w:color="auto" w:fill="FFF2CC"/>
            <w:vAlign w:val="top"/>
          </w:tcPr>
          <w:p>
            <w:r>
              <w:rPr>
                <w:b/>
                <w:sz w:val="16"/>
              </w:rPr>
              <w:t xml:space="preserve">[REVISED] </w:t>
            </w:r>
            <w:r>
              <w:rPr>
                <w:sz w:val="16"/>
              </w:rPr>
              <w:t>Case 3 — Piping Corrosion Compliance (PIP-GOLD-047)</w:t>
            </w:r>
          </w:p>
        </w:tc>
        <w:tc>
          <w:tcPr>
            <w:tcW w:type="dxa" w:w="5760"/>
            <w:shd w:val="clear" w:color="auto" w:fill="FFF2CC"/>
            <w:vAlign w:val="top"/>
          </w:tcPr>
          <w:p>
            <w:r>
              <w:rPr>
                <w:sz w:val="16"/>
              </w:rPr>
              <w:t>(was: 3 The Jurisdiction Compliance Gap)</w:t>
              <w:br/>
              <w:br/>
            </w:r>
          </w:p>
        </w:tc>
        <w:tc>
          <w:tcPr>
            <w:tcW w:type="dxa" w:w="5760"/>
            <w:shd w:val="clear" w:color="auto" w:fill="FFF2CC"/>
            <w:vAlign w:val="top"/>
          </w:tcPr>
          <w:p>
            <w:r>
              <w:rPr>
                <w:sz w:val="16"/>
              </w:rPr>
              <w:t>For an SA-106 Gr.B carbon-steel line in sour-chloride service (7.804 MPa, 196 °C, 200 ppm Cl⁻), the engine reports a remaining life of 14.0 years with no red flags raised. The KOSHA RAG layer retrieves, in ranked order, B-M-18-2026, Article 256 of the Rules on Occupational Safety and Health Standards (산업안전보건기준에 관한 규칙 — Corrosion Prevention Provision), and C-C-75-2026 (Technical Regulation for Corrosion Risk Assessment of Chemical Equipment). Article 256 reads (verbatim, with the Korean original preserved): 제256조(부식 방지) 사업주는 부식성 액체에 의하여 부식될 우려가 있는 부분의 부식을 방지하기 위하여 보온재로 피복하는 등 부식을 방지하기 위한 조치를 하여야 한다. English working translation: Article 256 (Corrosion Prevention). The employer shall take measures to prevent corrosion — including, but not limited to, application of insulation/coating — at parts liable to corrosion by corrosive liquids. The text shown above matches the body indexed in the system’s SQLite FTS5 store (datasets/kosha_rag/kosha_local_rag.utf8.sqlite3); the indexed bodies are stored as correct UTF-8 (full-corpus encoding scan reported zero mojibake across 197,124 string fields, see outputs/kosha_encoding_diagnosis.md). The provision is mandatory under the Act. The linkage …[truncated]</w:t>
            </w:r>
          </w:p>
        </w:tc>
      </w:tr>
      <w:tr>
        <w:tc>
          <w:tcPr>
            <w:tcW w:type="dxa" w:w="576"/>
            <w:shd w:val="clear" w:color="auto" w:fill="FFF2CC"/>
            <w:vAlign w:val="top"/>
          </w:tcPr>
          <w:p>
            <w:r>
              <w:rPr>
                <w:sz w:val="16"/>
              </w:rPr>
              <w:t>28</w:t>
            </w:r>
          </w:p>
        </w:tc>
        <w:tc>
          <w:tcPr>
            <w:tcW w:type="dxa" w:w="2880"/>
            <w:shd w:val="clear" w:color="auto" w:fill="FFF2CC"/>
            <w:vAlign w:val="top"/>
          </w:tcPr>
          <w:p>
            <w:r>
              <w:rPr>
                <w:b/>
                <w:sz w:val="16"/>
              </w:rPr>
              <w:t xml:space="preserve">[REVISED] </w:t>
            </w:r>
            <w:r>
              <w:rPr>
                <w:sz w:val="16"/>
              </w:rPr>
              <w:t>6.5 Curated Retrieval Benchmark (RQ2)</w:t>
            </w:r>
          </w:p>
        </w:tc>
        <w:tc>
          <w:tcPr>
            <w:tcW w:type="dxa" w:w="5760"/>
            <w:shd w:val="clear" w:color="auto" w:fill="FFF2CC"/>
            <w:vAlign w:val="top"/>
          </w:tcPr>
          <w:p>
            <w:r>
              <w:rPr>
                <w:sz w:val="16"/>
              </w:rPr>
              <w:t>(was: 5.2 Retrieval pipeline)</w:t>
              <w:br/>
              <w:br/>
              <w:t>Domain calculation outputs are converted to Korean natural-language queries. A concept-aware query builder joins concepts with AND and expands synonyms within each concept using OR. When strict AND matching yields no results, a loose OR fallback is used. This design addresses the bilingual and abbreviation-heavy nature of Korean engineering terminology (e.g., “잔여수명” / “remaining life” / “RL”).</w:t>
            </w:r>
          </w:p>
        </w:tc>
        <w:tc>
          <w:tcPr>
            <w:tcW w:type="dxa" w:w="5760"/>
            <w:shd w:val="clear" w:color="auto" w:fill="FFF2CC"/>
            <w:vAlign w:val="top"/>
          </w:tcPr>
          <w:p>
            <w:r>
              <w:rPr>
                <w:sz w:val="16"/>
              </w:rPr>
              <w:t>To quantify the retrieval effect of synonym-aware regulatory search, we constructed a 50-query curated benchmark organised as five regulatory target groups × ten queries per group, totalling 50 queries (datasets/kosha_rag/rag_eval_queries.json). Each query group corresponds to one of the five high-priority regulatory targets exercised by the case studies: M-69-2012, C-C-23-2026, B-M-18-2026, C-C-75-2026, and Article 256. Within a group, the ten queries vary phrasing (Korean / English / abbreviation / full phrase / domain-jargon paraphrase) so the benchmark measures retrieval-quality variance across query formulations rather than breadth of regulatory coverage. The curation policy and full query set are released in the dataset folder for independent inspection. Sample size justification. Five groups were chosen because they cover all three KOSHA value-add patterns demonstrated by the case studies (remaining-life documentation, RBI trigger, corrosion prevention). Ten queries per group is the minimum that supports a Recall@K spread analysis without saturating the available distinct paraphrasings of the underlying regulatory target; with fewer than ten, the variance estimate becomes …[truncated]</w:t>
            </w:r>
          </w:p>
        </w:tc>
      </w:tr>
      <w:tr>
        <w:tc>
          <w:tcPr>
            <w:tcW w:type="dxa" w:w="576"/>
            <w:shd w:val="clear" w:color="auto" w:fill="FFF2CC"/>
            <w:vAlign w:val="top"/>
          </w:tcPr>
          <w:p>
            <w:r>
              <w:rPr>
                <w:sz w:val="16"/>
              </w:rPr>
              <w:t>29</w:t>
            </w:r>
          </w:p>
        </w:tc>
        <w:tc>
          <w:tcPr>
            <w:tcW w:type="dxa" w:w="2880"/>
            <w:shd w:val="clear" w:color="auto" w:fill="FFF2CC"/>
            <w:vAlign w:val="top"/>
          </w:tcPr>
          <w:p>
            <w:r>
              <w:rPr>
                <w:b/>
                <w:sz w:val="16"/>
              </w:rPr>
              <w:t xml:space="preserve">[REVISED] </w:t>
            </w:r>
            <w:r>
              <w:rPr>
                <w:sz w:val="16"/>
              </w:rPr>
              <w:t>6.6 Industry-Baseline Comparison and Internal Ablation</w:t>
            </w:r>
          </w:p>
        </w:tc>
        <w:tc>
          <w:tcPr>
            <w:tcW w:type="dxa" w:w="5760"/>
            <w:shd w:val="clear" w:color="auto" w:fill="FFF2CC"/>
            <w:vAlign w:val="top"/>
          </w:tcPr>
          <w:p>
            <w:r>
              <w:rPr>
                <w:sz w:val="16"/>
              </w:rPr>
              <w:t>(was: 1.2 Scope and contributions)</w:t>
              <w:br/>
              <w:br/>
              <w:t>We present an expert verification system for seven process plant engineering disciplines. Importantly, this study does not aim to reproduce full project-specific detailed design outcomes from confidential plant packages. Instead, it proposes a verification layer that detects jurisdiction-specific regulatory omissions and cross-discipline hazards that may be overlooked in conventional code-centric engineering workflows. Detailed engineering data in Korean EPC projects are typically confidential and not publicly shareable; accordingly, the evaluation uses curated synthetic golden cases, retrieval benchmarks, and scenario-based hazard screening under controlled conditions. The four contributions are: Jurisdiction compliance gap concept. We define, operationalise, and illustrate this concept with three case studies spanning pressure vessels and piping in Korean jurisdiction. Regulatory RAG for KOSHA integration. To our knowledge, we construct the first regulatory corpus from KOSHA public APIs (16,186 indexed rows from 1,327 guides and 3,102 statutory provisions) and show its feasibility for detecting jurisdiction-specific obligations invisible to …[truncated]</w:t>
            </w:r>
          </w:p>
        </w:tc>
        <w:tc>
          <w:tcPr>
            <w:tcW w:type="dxa" w:w="5760"/>
            <w:shd w:val="clear" w:color="auto" w:fill="FFF2CC"/>
            <w:vAlign w:val="top"/>
          </w:tcPr>
          <w:p>
            <w:r>
              <w:rPr>
                <w:sz w:val="16"/>
              </w:rPr>
              <w:t>An effective comparison against existing methods is essential. We address this in two layers, each consistent with the structural novelty of the proposed problem. Layer A — Industry baseline (“ASME/API pass = compliance complete”). The dominant current-practice baseline in Korean EPC piping/vessel review is to declare regulatory compliance complete once the relevant ASME/API calculation passes. Under that baseline the three case studies of §6.4 yield the result in Table 7: 0/3 of the Korean-jurisdiction obligations are detected. The proposed system detects 3/3. The first-relevant retrieval rank is 1 in all three cases. Table 7. Industry-Baseline (“ASME/API pass = compliance complete”) vs Regulatory RAG Layer B — Internal four-layer ablation. Beyond the validator-on/off ablation of §6.3, we report the incremental detection contribution of each system layer in Table 7b. Table 7b. Internal Ablation by System Layer (3 case set + 60 ablation set) All four rows of Table 7b are computed by scripts/run_layer_ablation.py (outputs/layer_ablation_report.md). The decomposition shows that the cross-discipline validator and the KOSHA RAG layer carry orthogonal signal: each catches a class of …[truncated]</w:t>
            </w:r>
          </w:p>
        </w:tc>
      </w:tr>
      <w:tr>
        <w:tc>
          <w:tcPr>
            <w:tcW w:type="dxa" w:w="576"/>
            <w:shd w:val="clear" w:color="auto" w:fill="E2F0D9"/>
            <w:vAlign w:val="top"/>
          </w:tcPr>
          <w:p>
            <w:r>
              <w:rPr>
                <w:sz w:val="16"/>
              </w:rPr>
              <w:t>30</w:t>
            </w:r>
          </w:p>
        </w:tc>
        <w:tc>
          <w:tcPr>
            <w:tcW w:type="dxa" w:w="2880"/>
            <w:shd w:val="clear" w:color="auto" w:fill="E2F0D9"/>
            <w:vAlign w:val="top"/>
          </w:tcPr>
          <w:p>
            <w:r>
              <w:rPr>
                <w:b/>
                <w:sz w:val="16"/>
              </w:rPr>
              <w:t xml:space="preserve">[NEW] </w:t>
            </w:r>
            <w:r>
              <w:rPr>
                <w:sz w:val="16"/>
              </w:rPr>
              <w:t>6.6.3 Real-plant pipeline-execution evidence</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Headline. Running the unmodified pipeline against an anonymised real-plant data sheet (VES-REAL-001) produces a deterministic ASME UG-27 governing thickness of 7.237 mm. A narrower Korean-term retrieval probe additionally surfaces Article 266 (a mandatory KOSHA provision concerning flare-path block-valve prohibition) at rank 5. We treat this as real-plant pipeline-execution evidence, not external accuracy validation. The detailed evidence is summarised below and reproduced in full in Appendix A. VES-REAL-001 is an anonymised cryogenic flare knockout drum (SA-240 Type 304/304L, 0.343 MPa(g) plus full vacuum, 190 °C / -190 °C, ID 5,000 mm, T-T 20,400 mm) drawn from an operating petrochemical project; all client, contractor, licensor, personnel, location, and document-ID identifiers were stripped before inclusion. Running the unmodified pipeline produces a deterministic ASME Section VIII Div.1 UG-27 controlling shell thickness of 7.237 mm at the +190 °C side, with the Layer-4 reverse-pressure check closing to within machine epsilon. KOSHA RAG retrieval, executed through the same code path used in §6.5, returns on the spec-faithful Variant A query 2 mandatory law-article hits + 8 …[truncated]</w:t>
            </w:r>
          </w:p>
        </w:tc>
      </w:tr>
      <w:tr>
        <w:tc>
          <w:tcPr>
            <w:tcW w:type="dxa" w:w="576"/>
            <w:shd w:val="clear" w:color="auto" w:fill="E2F0D9"/>
            <w:vAlign w:val="top"/>
          </w:tcPr>
          <w:p>
            <w:r>
              <w:rPr>
                <w:sz w:val="16"/>
              </w:rPr>
              <w:t>31</w:t>
            </w:r>
          </w:p>
        </w:tc>
        <w:tc>
          <w:tcPr>
            <w:tcW w:type="dxa" w:w="2880"/>
            <w:shd w:val="clear" w:color="auto" w:fill="E2F0D9"/>
            <w:vAlign w:val="top"/>
          </w:tcPr>
          <w:p>
            <w:r>
              <w:rPr>
                <w:b/>
                <w:sz w:val="16"/>
              </w:rPr>
              <w:t xml:space="preserve">[NEW] </w:t>
            </w:r>
            <w:r>
              <w:rPr>
                <w:sz w:val="16"/>
              </w:rPr>
              <w:t>6.7 Citation Traceability and Negative-Case Evidence</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Citation-traceability precision. Every regulatory grounding produced by the system carries a citation to a (reference_code, chunk_id) tuple that resolves to a row in the SQLite FTS5 index (indexed/kosha_rag.db). The grounding generator (src/rag/local_kosha_rag.py) refuses to emit advisories whose citation index does not match a passage actually returned by retrieval, so the citation-traceability precision is 100% by construction. We make this an explicit metric to address the well-known LLM-hallucination concern on regulatory-grounded outputs. Negative case (no false-positive flag). To address the false-positive concern, we report a representative negative case from the same dataset: PIP-GOLD-003 — a stainless-steel SA-312 TP316 ERW line under general (non-corrosive) service conditions (design pressure 2.013 MPa, design temperature 119.5 °C; no chloride or sour-service flag is set in the case spec; verified against datasets/golden_standards/piping_golden_dataset_v1.json:PIP-GOLD-003). The calculation engine returns no red flags (expected_red_flags: []). Running the actual RAG pipeline against this case using a neutral piping-integrity query (scripts/run_negative_case_rag.py, …[truncated]</w:t>
            </w:r>
          </w:p>
        </w:tc>
      </w:tr>
      <w:tr>
        <w:tc>
          <w:tcPr>
            <w:tcW w:type="dxa" w:w="576"/>
            <w:shd w:val="clear" w:color="auto" w:fill="FFF2CC"/>
            <w:vAlign w:val="top"/>
          </w:tcPr>
          <w:p>
            <w:r>
              <w:rPr>
                <w:sz w:val="16"/>
              </w:rPr>
              <w:t>32</w:t>
            </w:r>
          </w:p>
        </w:tc>
        <w:tc>
          <w:tcPr>
            <w:tcW w:type="dxa" w:w="2880"/>
            <w:shd w:val="clear" w:color="auto" w:fill="FFF2CC"/>
            <w:vAlign w:val="top"/>
          </w:tcPr>
          <w:p>
            <w:r>
              <w:rPr>
                <w:b/>
                <w:sz w:val="16"/>
              </w:rPr>
              <w:t xml:space="preserve">[REVISED] </w:t>
            </w:r>
            <w:r>
              <w:rPr>
                <w:sz w:val="16"/>
              </w:rPr>
              <w:t>7 Discussion</w:t>
            </w:r>
          </w:p>
        </w:tc>
        <w:tc>
          <w:tcPr>
            <w:tcW w:type="dxa" w:w="5760"/>
            <w:shd w:val="clear" w:color="auto" w:fill="FFF2CC"/>
            <w:vAlign w:val="top"/>
          </w:tcPr>
          <w:p>
            <w:r>
              <w:rPr>
                <w:sz w:val="16"/>
              </w:rPr>
              <w:t>It is important to clarify the scope of this contribution. This system is not a replacement for detailed engineering design by qualified professionals, nor does it claim to reproduce project-specific plant design outcomes. Rather, it is a verification layer that screens for two classes of risk that conventional code-centric workflows structurally miss: jurisdiction-specific regulatory omissions and cross-discipline coupling hazards. In process safety terms, the value proposition is not “more accurate calculation” but “fewer overlooked compliance obligations and inter-discipline blind spots.”</w:t>
            </w:r>
          </w:p>
        </w:tc>
        <w:tc>
          <w:tcPr>
            <w:tcW w:type="dxa" w:w="5760"/>
            <w:shd w:val="clear" w:color="auto" w:fill="FFF2CC"/>
            <w:vAlign w:val="top"/>
          </w:tcPr>
          <w:p>
            <w:r>
              <w:rPr>
                <w:sz w:val="16"/>
              </w:rPr>
              <w:t>The discussion below interprets the empirical evidence of §6 in light of the framework-vs-validated-scope distinction made explicit in §1: the seven-discipline architecture is the framework scope, while the empirical signal is densest in piping-vessel coupling and remains exploratory in the other discipline pairs.</w:t>
            </w:r>
          </w:p>
        </w:tc>
      </w:tr>
      <w:tr>
        <w:tc>
          <w:tcPr>
            <w:tcW w:type="dxa" w:w="576"/>
            <w:shd w:val="clear" w:color="auto" w:fill="FFF2CC"/>
            <w:vAlign w:val="top"/>
          </w:tcPr>
          <w:p>
            <w:r>
              <w:rPr>
                <w:sz w:val="16"/>
              </w:rPr>
              <w:t>33</w:t>
            </w:r>
          </w:p>
        </w:tc>
        <w:tc>
          <w:tcPr>
            <w:tcW w:type="dxa" w:w="2880"/>
            <w:shd w:val="clear" w:color="auto" w:fill="FFF2CC"/>
            <w:vAlign w:val="top"/>
          </w:tcPr>
          <w:p>
            <w:r>
              <w:rPr>
                <w:b/>
                <w:sz w:val="16"/>
              </w:rPr>
              <w:t xml:space="preserve">[REVISED] </w:t>
            </w:r>
            <w:r>
              <w:rPr>
                <w:sz w:val="16"/>
              </w:rPr>
              <w:t>7.1 The jurisdiction compliance gap</w:t>
            </w:r>
          </w:p>
        </w:tc>
        <w:tc>
          <w:tcPr>
            <w:tcW w:type="dxa" w:w="5760"/>
            <w:shd w:val="clear" w:color="auto" w:fill="FFF2CC"/>
            <w:vAlign w:val="top"/>
          </w:tcPr>
          <w:p>
            <w:r>
              <w:rPr>
                <w:sz w:val="16"/>
              </w:rPr>
              <w:t>(was: 7.5 Jurisdiction compliance gap case studies (RQ2))</w:t>
              <w:br/>
              <w:br/>
              <w:t>Three cases were selected to illustrate distinct gap types that map to documented accident pathways in Korean process plants: (1) a long-remaining-life vessel where KOSHA documentation obligations are triggered but invisible to ASME/API calculations — relevant because undocumented equipment conditions have contributed to delayed inspection failures; (2) a vessel where KOSHA-mandated RBI review triggers apply but API 510 scheduling does not capture them — relevant because missed RBI triggers are a known contributor to inspection programme gaps; and (3) a corrosive-service piping system where Article 256 corrosion-prevention controls apply despite full ASME B31.3/API 570 compliance — relevant because uncontrolled corrosion in sour-chloride service is a well-documented cause of piping leakage and rupture in Korean petrochemical plants. Case 1 — VES-GOLD-001 (Vessel Remaining Life). SA-516-70 vessel, 1.858 MPa, 217.3 °C, current thickness 44.82 mm. Calculation: required thickness 14.99 mm (ASME VIII UG-27), remaining life 136.3 years, inspection interval 10 years (API 510). No red flags. KOSHA RAG retrieves: M-69-2012 …[truncated]</w:t>
            </w:r>
          </w:p>
        </w:tc>
        <w:tc>
          <w:tcPr>
            <w:tcW w:type="dxa" w:w="5760"/>
            <w:shd w:val="clear" w:color="auto" w:fill="FFF2CC"/>
            <w:vAlign w:val="top"/>
          </w:tcPr>
          <w:p>
            <w:r>
              <w:rPr>
                <w:sz w:val="16"/>
              </w:rPr>
              <w:t>The most significant finding of this study is the existence of the jurisdiction compliance gap, defined as follows: Jurisdiction compliance gap. The set of regulatory obligations imposed by national statute or agency guideline (here, Korean PSM law and KOSHA technical guidelines) that are structurally absent from international engineering code calculations (ASME, API, IEEE, IEC, ACI, AISC), such that a system may be technically code-compliant while remaining legally non-compliant under the applicable local jurisdiction. Even where international code calculations produce a clean pass, the KOSHA RAG layer can identify additional Korean-jurisdiction compliance requirements. This occurs because ASME, API, and analogous international standards define technical calculation requirements, whereas KOSHA guidelines and Korean safety regulations — including Article 256 of the Rules on Occupational Safety and Health Standards — impose procedural, documentation, and trigger-driven obligations conditioned on calculation outputs but not encoded within the international standards themselves. The gap is structurally present whether the calculation arises from a design-phase check or an in-service …[truncated]</w:t>
            </w:r>
          </w:p>
        </w:tc>
      </w:tr>
      <w:tr>
        <w:tc>
          <w:tcPr>
            <w:tcW w:type="dxa" w:w="576"/>
            <w:shd w:val="clear" w:color="auto" w:fill="E2F0D9"/>
            <w:vAlign w:val="top"/>
          </w:tcPr>
          <w:p>
            <w:r>
              <w:rPr>
                <w:sz w:val="16"/>
              </w:rPr>
              <w:t>34</w:t>
            </w:r>
          </w:p>
        </w:tc>
        <w:tc>
          <w:tcPr>
            <w:tcW w:type="dxa" w:w="2880"/>
            <w:shd w:val="clear" w:color="auto" w:fill="E2F0D9"/>
            <w:vAlign w:val="top"/>
          </w:tcPr>
          <w:p>
            <w:r>
              <w:rPr>
                <w:b/>
                <w:sz w:val="16"/>
              </w:rPr>
              <w:t xml:space="preserve">[NEW] </w:t>
            </w:r>
            <w:r>
              <w:rPr>
                <w:sz w:val="16"/>
              </w:rPr>
              <w:t>7.2 Compliance co-pilot, not replacement: HAZOP / RBI / Digital Twin / Regulatory RAG</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A persistent risk in publishing AI-assisted safety tooling is the implicit suggestion that the tool replaces an existing human or workshop-based method. We make the opposite claim explicitly. The framework is positioned as a compliance co-pilot to existing methods; Table 8 contrasts it with HAZOP, RBI, and Digital Twin. Table 8. Method Comparison — HAZOP / RBI / Digital Twin / Regulatory RAG The four operational touchpoints are: Before HAZOP — identify mandatory regulatory nodes that the workshop must address. During design review — detect missing legal requirements before the design freezes. During RBI — check whether local inspection triggers are satisfied beyond the API calendar. During digital-twin operation — flag live compliance gaps as plant state evolves. In process-safety terms, the system functions as a Digital Compliance Auditor, an Automated PSM Checker (PSM = SEVESO / OSHA / KOSHA frameworks), and a Real-time Regulatory Advisor. Two roles bracket the temporal axis: Table 9. Auditor vs Advisor — temporal role The proposed system supports both roles depending on where in the workflow it is invoked.</w:t>
            </w:r>
          </w:p>
        </w:tc>
      </w:tr>
      <w:tr>
        <w:tc>
          <w:tcPr>
            <w:tcW w:type="dxa" w:w="576"/>
            <w:shd w:val="clear" w:color="auto" w:fill="E2F0D9"/>
            <w:vAlign w:val="top"/>
          </w:tcPr>
          <w:p>
            <w:r>
              <w:rPr>
                <w:sz w:val="16"/>
              </w:rPr>
              <w:t>35</w:t>
            </w:r>
          </w:p>
        </w:tc>
        <w:tc>
          <w:tcPr>
            <w:tcW w:type="dxa" w:w="2880"/>
            <w:shd w:val="clear" w:color="auto" w:fill="E2F0D9"/>
            <w:vAlign w:val="top"/>
          </w:tcPr>
          <w:p>
            <w:r>
              <w:rPr>
                <w:b/>
                <w:sz w:val="16"/>
              </w:rPr>
              <w:t xml:space="preserve">[NEW] </w:t>
            </w:r>
            <w:r>
              <w:rPr>
                <w:sz w:val="16"/>
              </w:rPr>
              <w:t>7.3 HAZOP scope: knowledge-based / AI-assisted, not a replacement for dynamic HAZOP</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The system supports knowledge-based or AI-assisted HAZOP: it surfaces structured regulatory data and rule-based prompts that a HAZOP facilitator can incorporate into the workshop. It is not a replacement for conventional dynamic HAZOP, which remains a brainstorming-based, multidisciplinary workshop relying on expert judgement, inter-discipline interaction, and human pattern recognition that no current AI system reproduces. The role of the proposed framework in a HAZOP context is to ensure that the workshop starts with a regulatory baseline that already encodes the jurisdiction-specific obligations and to flag during the workshop any deviation node that maps to a known KOSHA trigger.</w:t>
            </w:r>
          </w:p>
        </w:tc>
      </w:tr>
      <w:tr>
        <w:tc>
          <w:tcPr>
            <w:tcW w:type="dxa" w:w="576"/>
            <w:shd w:val="clear" w:color="auto" w:fill="E2F0D9"/>
            <w:vAlign w:val="top"/>
          </w:tcPr>
          <w:p>
            <w:r>
              <w:rPr>
                <w:sz w:val="16"/>
              </w:rPr>
              <w:t>36</w:t>
            </w:r>
          </w:p>
        </w:tc>
        <w:tc>
          <w:tcPr>
            <w:tcW w:type="dxa" w:w="2880"/>
            <w:shd w:val="clear" w:color="auto" w:fill="E2F0D9"/>
            <w:vAlign w:val="top"/>
          </w:tcPr>
          <w:p>
            <w:r>
              <w:rPr>
                <w:b/>
                <w:sz w:val="16"/>
              </w:rPr>
              <w:t xml:space="preserve">[NEW] </w:t>
            </w:r>
            <w:r>
              <w:rPr>
                <w:sz w:val="16"/>
              </w:rPr>
              <w:t>7.4 Fitness-for-Service vs EPC standards</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API 579-1 fitness-for-service (FFS) (API, 2020) interacts with EPC design standards (ASME, API design codes) along two independent axes: it supplements design-stage codes with a quantitative remaining-life and acceptance methodology for in-service degradation, and it interfaces with regulatory obligations because some KOSHA inspection-trigger and documentation requirements are themselves conditioned on FFS-derived quantities (remaining life, corrosion rate). The present system treats FFS as both a design-validation input (when applied at the engineering stage to a degraded scenario) and an operational assessment (when applied to in-service inspection data). The orchestration is identical in both modes: the calc engine produces an FFS quantity, the four-layer verification confirms numerical consistency, the cross-discipline validator checks for downstream coupling effects, and the KOSHA RAG layer maps the FFS quantity back to any jurisdiction-specific obligation it triggers (e.g., a remaining life below a certain threshold triggers M-69-2012 documentation; a corrosion rate above a certain threshold triggers Article 256 procedural duties). This dual-mode treatment allows compliance …[truncated]</w:t>
            </w:r>
          </w:p>
        </w:tc>
      </w:tr>
      <w:tr>
        <w:tc>
          <w:tcPr>
            <w:tcW w:type="dxa" w:w="576"/>
            <w:shd w:val="clear" w:color="auto" w:fill="FFF2CC"/>
            <w:vAlign w:val="top"/>
          </w:tcPr>
          <w:p>
            <w:r>
              <w:rPr>
                <w:sz w:val="16"/>
              </w:rPr>
              <w:t>37</w:t>
            </w:r>
          </w:p>
        </w:tc>
        <w:tc>
          <w:tcPr>
            <w:tcW w:type="dxa" w:w="2880"/>
            <w:shd w:val="clear" w:color="auto" w:fill="FFF2CC"/>
            <w:vAlign w:val="top"/>
          </w:tcPr>
          <w:p>
            <w:r>
              <w:rPr>
                <w:b/>
                <w:sz w:val="16"/>
              </w:rPr>
              <w:t xml:space="preserve">[REVISED] </w:t>
            </w:r>
            <w:r>
              <w:rPr>
                <w:sz w:val="16"/>
              </w:rPr>
              <w:t>7.5 Process-safety contribution</w:t>
            </w:r>
          </w:p>
        </w:tc>
        <w:tc>
          <w:tcPr>
            <w:tcW w:type="dxa" w:w="5760"/>
            <w:shd w:val="clear" w:color="auto" w:fill="FFF2CC"/>
            <w:vAlign w:val="top"/>
          </w:tcPr>
          <w:p>
            <w:r>
              <w:rPr>
                <w:sz w:val="16"/>
              </w:rPr>
              <w:t>(was: 8.3 Cross-discipline coupling as safety contribution)</w:t>
              <w:br/>
              <w:br/>
              <w:t>The 25 additional blocked scenarios represent coupling hazards that no single-domain tool would flag. In practice, these correspond to failure modes such as: piping nozzle overload degrading rotating equipment bearings; foundation settlement causing rotating equipment misalignment; electrical harmonics affecting instrumentation. These are documented accident pathways in plant engineering.</w:t>
            </w:r>
          </w:p>
        </w:tc>
        <w:tc>
          <w:tcPr>
            <w:tcW w:type="dxa" w:w="5760"/>
            <w:shd w:val="clear" w:color="auto" w:fill="FFF2CC"/>
            <w:vAlign w:val="top"/>
          </w:tcPr>
          <w:p>
            <w:r>
              <w:rPr>
                <w:sz w:val="16"/>
              </w:rPr>
              <w:t>The system contributes to process safety through two pathways. First, the cross-discipline validator proactively identifies coupling hazards that single-domain calculations miss; representative scenarios include excessive piping nozzle loads driving rotating equipment bearing degradation, and civil foundation settlement propagating into rotating equipment alignment failure. Second, as demonstrated in Case 3, the KOSHA RAG layer identifies the corrosion-prevention obligation under Article 256 even when ASME B31.3 and API 570 are fully satisfied. If left unaddressed, unmonitored corrosion progression in a high-temperature, high-pressure carbon-steel line in sour-chloride service may result in leakage or rupture. The system therefore provides a mechanism for automatically detecting the condition of being technically compliant with international standards while remaining legally non-compliant under Korean regulation — a condition that is operationally indistinguishable from “compliant” under current EPC review practice. An anonymised real-plant cryogenic flare-drum data sheet is run end-to-end through the pipeline in Appendix A (VES-REAL-001), confirming that the architecture handles …[truncated]</w:t>
            </w:r>
          </w:p>
        </w:tc>
      </w:tr>
      <w:tr>
        <w:tc>
          <w:tcPr>
            <w:tcW w:type="dxa" w:w="576"/>
            <w:shd w:val="clear" w:color="auto" w:fill="FFF2CC"/>
            <w:vAlign w:val="top"/>
          </w:tcPr>
          <w:p>
            <w:r>
              <w:rPr>
                <w:sz w:val="16"/>
              </w:rPr>
              <w:t>38</w:t>
            </w:r>
          </w:p>
        </w:tc>
        <w:tc>
          <w:tcPr>
            <w:tcW w:type="dxa" w:w="2880"/>
            <w:shd w:val="clear" w:color="auto" w:fill="FFF2CC"/>
            <w:vAlign w:val="top"/>
          </w:tcPr>
          <w:p>
            <w:r>
              <w:rPr>
                <w:b/>
                <w:sz w:val="16"/>
              </w:rPr>
              <w:t xml:space="preserve">[REVISED] </w:t>
            </w:r>
            <w:r>
              <w:rPr>
                <w:sz w:val="16"/>
              </w:rPr>
              <w:t>7.6 Reproducibility and explainability</w:t>
            </w:r>
          </w:p>
        </w:tc>
        <w:tc>
          <w:tcPr>
            <w:tcW w:type="dxa" w:w="5760"/>
            <w:shd w:val="clear" w:color="auto" w:fill="FFF2CC"/>
            <w:vAlign w:val="top"/>
          </w:tcPr>
          <w:p>
            <w:r>
              <w:rPr>
                <w:sz w:val="16"/>
              </w:rPr>
              <w:t>(was: Code and Data Availability)</w:t>
              <w:br/>
              <w:br/>
              <w:t>Source code, golden datasets, benchmark scripts, and the KOSHA regulatory corpus index will be made publicly available at https://github.com/yuyongkim/did-you-check-kosha under the AGPL-3.0 license upon acceptance. A code-to-paper mapping document is included in the repository (docs/publication/CODE_MAP.md).</w:t>
            </w:r>
          </w:p>
        </w:tc>
        <w:tc>
          <w:tcPr>
            <w:tcW w:type="dxa" w:w="5760"/>
            <w:shd w:val="clear" w:color="auto" w:fill="FFF2CC"/>
            <w:vAlign w:val="top"/>
          </w:tcPr>
          <w:p>
            <w:r>
              <w:rPr>
                <w:sz w:val="16"/>
              </w:rPr>
              <w:t>The architecture prioritises reproducibility and explainability. Every major calculation step carries an explicit standard citation; every regulatory grounding carries a (reference_code, chunk_id) traceable to the SQLite index; the golden dataset, the 60-scenario ablation set, the 50-query benchmark, and the orchestration scripts are publicly released, enabling independent replication on commodity hardware with CPU resources and an Ollama installation.</w:t>
            </w:r>
          </w:p>
        </w:tc>
      </w:tr>
      <w:tr>
        <w:tc>
          <w:tcPr>
            <w:tcW w:type="dxa" w:w="576"/>
            <w:shd w:val="clear" w:color="auto" w:fill="FFF2CC"/>
            <w:vAlign w:val="top"/>
          </w:tcPr>
          <w:p>
            <w:r>
              <w:rPr>
                <w:sz w:val="16"/>
              </w:rPr>
              <w:t>39</w:t>
            </w:r>
          </w:p>
        </w:tc>
        <w:tc>
          <w:tcPr>
            <w:tcW w:type="dxa" w:w="2880"/>
            <w:shd w:val="clear" w:color="auto" w:fill="FFF2CC"/>
            <w:vAlign w:val="top"/>
          </w:tcPr>
          <w:p>
            <w:r>
              <w:rPr>
                <w:b/>
                <w:sz w:val="16"/>
              </w:rPr>
              <w:t xml:space="preserve">[REVISED] </w:t>
            </w:r>
            <w:r>
              <w:rPr>
                <w:sz w:val="16"/>
              </w:rPr>
              <w:t>8 Limitations and Future Work</w:t>
            </w:r>
          </w:p>
        </w:tc>
        <w:tc>
          <w:tcPr>
            <w:tcW w:type="dxa" w:w="5760"/>
            <w:shd w:val="clear" w:color="auto" w:fill="FFF2CC"/>
            <w:vAlign w:val="top"/>
          </w:tcPr>
          <w:p>
            <w:r>
              <w:rPr>
                <w:sz w:val="16"/>
              </w:rPr>
              <w:t>Synthetic evaluation only. Validation on full industrial plant design packages was not feasible because detailed engineering data in EPC projects are typically confidential and not publicly shareable. Accordingly, the evaluation uses curated synthetic golden cases derived from reference examples in the applicable standards. The perfect accuracy on these cases is expected for deterministic rule-based engines and should be interpreted as implementation-correctness evidence under curated conditions, not as proof of universal field performance across real EPC projects. Screening-level outputs. Domain outputs support engineering review but cannot substitute for detailed design calculations or fitness-for-service assessments by qualified engineers. Curated retrieval benchmark. The 50-query benchmark measures retrieval robustness across query formulations, not breadth of regulatory coverage. BM25 may miss semantically similar Korean documents despite synonym expansion. Ten coupling pairs. Systematic expansion to additional domain pairs is needed. The current set covers well-documented inter-discipline failure mechanisms but is not exhaustive. Internal baselines only. Comparison against …[truncated]</w:t>
            </w:r>
          </w:p>
        </w:tc>
        <w:tc>
          <w:tcPr>
            <w:tcW w:type="dxa" w:w="5760"/>
            <w:shd w:val="clear" w:color="auto" w:fill="FFF2CC"/>
            <w:vAlign w:val="top"/>
          </w:tcPr>
          <w:p>
            <w:r>
              <w:rPr>
                <w:sz w:val="16"/>
              </w:rPr>
              <w:t>This study has the following limitations. Synthetic dataset. The golden dataset is entirely synthetic; no external validation against real plant operating or design-phase data has been performed. The 220-case accuracy reported in §6.1 constitutes standards-faithful implementation verification, not predictive validation against operating-record outcomes. Screening-level domain outputs. Some domain outputs represent screening-level assessments and cannot substitute for detailed engineering design review. Curated retrieval benchmark. The retrieval benchmark is curated rather than drawn from production user logs; BM25 keyword retrieval may still miss semantically similar Korean documents even with concept-aware synonym expansion and OR fallback. Retrieval improvements beyond Recall@1 and MRR@10 should be interpreted as provisional due to limited benchmark size; the paired-bootstrap 95% CI on the Enhanced − Plain delta includes zero from K=3 onward. Coupling pair coverage. The cross-discipline coupling validation is limited to ten predefined domain pairs. Cross-discipline evidence is currently strongest in piping-vessel coupling (22 of 26 ablation detections) and should not yet be …[truncated]</w:t>
            </w:r>
          </w:p>
        </w:tc>
      </w:tr>
      <w:tr>
        <w:tc>
          <w:tcPr>
            <w:tcW w:type="dxa" w:w="576"/>
            <w:shd w:val="clear" w:color="auto" w:fill="FFF2CC"/>
            <w:vAlign w:val="top"/>
          </w:tcPr>
          <w:p>
            <w:r>
              <w:rPr>
                <w:sz w:val="16"/>
              </w:rPr>
              <w:t>40</w:t>
            </w:r>
          </w:p>
        </w:tc>
        <w:tc>
          <w:tcPr>
            <w:tcW w:type="dxa" w:w="2880"/>
            <w:shd w:val="clear" w:color="auto" w:fill="FFF2CC"/>
            <w:vAlign w:val="top"/>
          </w:tcPr>
          <w:p>
            <w:r>
              <w:rPr>
                <w:b/>
                <w:sz w:val="16"/>
              </w:rPr>
              <w:t xml:space="preserve">[REVISED] </w:t>
            </w:r>
            <w:r>
              <w:rPr>
                <w:sz w:val="16"/>
              </w:rPr>
              <w:t>9 Conclusion</w:t>
            </w:r>
          </w:p>
        </w:tc>
        <w:tc>
          <w:tcPr>
            <w:tcW w:type="dxa" w:w="5760"/>
            <w:shd w:val="clear" w:color="auto" w:fill="FFF2CC"/>
            <w:vAlign w:val="top"/>
          </w:tcPr>
          <w:p>
            <w:r>
              <w:rPr>
                <w:sz w:val="16"/>
              </w:rPr>
              <w:t>This paper has introduced the concept of the jurisdiction compliance gap and presented a proof-of-feasibility expert verification system that detects it automatically. The system integrates seven domain calculation engines, a four-layer hybrid verification model with K-voting consensus, a cross-discipline coupling validator, and a KOSHA regulatory RAG layer. It is positioned as a verification layer for screening regulatory omissions and inter-discipline blind spots, not as a replacement for detailed engineering design. Key findings: - Cross-discipline coupling validation identified 25 additional hazard scenarios in a 60-scenario ablation that single-domain calculations structurally miss, with zero false positives on standard-aligned cases. - Concept-aware regulatory retrieval improved Recall@1 from 0.44 to 0.74 and MRR@10 from 0.5744 to 0.7933 over plain full-text search. - Three case studies illustrate that ASME/API-compliant calculations can leave Korean-jurisdiction obligations unaddressed, including Article 256 corrosion-prevention requirements — a finding with direct implications for PSM-based loss prevention. We hypothesise that the jurisdiction compliance gap is a …[truncated]</w:t>
            </w:r>
          </w:p>
        </w:tc>
        <w:tc>
          <w:tcPr>
            <w:tcW w:type="dxa" w:w="5760"/>
            <w:shd w:val="clear" w:color="auto" w:fill="FFF2CC"/>
            <w:vAlign w:val="top"/>
          </w:tcPr>
          <w:p>
            <w:r>
              <w:rPr>
                <w:sz w:val="16"/>
              </w:rPr>
              <w:t>This paper has presented an integrated platform combining standards-based calculation engines for seven process plant engineering disciplines, a four-layer hybrid verification model, and a KOSHA regulatory RAG layer applicable across the full plant lifecycle from design through operation. All 220 synthetic golden cases pass end-to-end implementation verification. A 60-scenario cross-discipline ablation shows that enabling the validator increases blocking from 0/60 to 26/60 (+0.4333), with aligned-boundary and aligned-failure subsets rising from 0.0 to 1.0; the detected signal is concentrated in piping-vessel nozzle-margin coupling (22 of 26 detections) and remains exploratory in the other coupling families. A 50-query curated retrieval benchmark shows that enhanced regulatory retrieval improves Recall@1 from 0.4400 to 0.7400 (paired-bootstrap 95% CI [+0.14, +0.48]) and MRR@10 from 0.5744 to 0.7933 (paired CI [+0.09, +0.35]) over plain BM25; Recall@3 and Recall@5 each gain +0.12 with paired CIs that include zero ([−0.02, +0.26]) and are reported for completeness rather than as primary evidence. Three representative cases provide empirical evidence that the KOSHA RAG layer …[truncated]</w:t>
            </w:r>
          </w:p>
        </w:tc>
      </w:tr>
      <w:tr>
        <w:tc>
          <w:tcPr>
            <w:tcW w:type="dxa" w:w="576"/>
            <w:shd w:val="clear" w:color="auto" w:fill="FFF2CC"/>
            <w:vAlign w:val="top"/>
          </w:tcPr>
          <w:p>
            <w:r>
              <w:rPr>
                <w:sz w:val="16"/>
              </w:rPr>
              <w:t>41</w:t>
            </w:r>
          </w:p>
        </w:tc>
        <w:tc>
          <w:tcPr>
            <w:tcW w:type="dxa" w:w="2880"/>
            <w:shd w:val="clear" w:color="auto" w:fill="FFF2CC"/>
            <w:vAlign w:val="top"/>
          </w:tcPr>
          <w:p>
            <w:r>
              <w:rPr>
                <w:b/>
                <w:sz w:val="16"/>
              </w:rPr>
              <w:t xml:space="preserve">[REVISED] </w:t>
            </w:r>
            <w:r>
              <w:rPr>
                <w:sz w:val="16"/>
              </w:rPr>
              <w:t>Acknowledgements</w:t>
            </w:r>
          </w:p>
        </w:tc>
        <w:tc>
          <w:tcPr>
            <w:tcW w:type="dxa" w:w="5760"/>
            <w:shd w:val="clear" w:color="auto" w:fill="FFF2CC"/>
            <w:vAlign w:val="top"/>
          </w:tcPr>
          <w:p>
            <w:r>
              <w:rPr>
                <w:sz w:val="16"/>
              </w:rPr>
              <w:t>The author acknowledges the Korea Occupational Safety and Health Agency (KOSHA) for public API access to technical guidelines and statutory provisions.</w:t>
            </w:r>
          </w:p>
        </w:tc>
        <w:tc>
          <w:tcPr>
            <w:tcW w:type="dxa" w:w="5760"/>
            <w:shd w:val="clear" w:color="auto" w:fill="FFF2CC"/>
            <w:vAlign w:val="top"/>
          </w:tcPr>
          <w:p>
            <w:r>
              <w:rPr>
                <w:sz w:val="16"/>
              </w:rPr>
              <w:t>The author thanks the Korea Occupational Safety and Health Agency for maintaining open access to the KOSHA Smart-search and KOSHA Guide APIs, without which the regulatory corpus could not have been assembled.</w:t>
            </w:r>
          </w:p>
        </w:tc>
      </w:tr>
      <w:tr>
        <w:tc>
          <w:tcPr>
            <w:tcW w:type="dxa" w:w="576"/>
            <w:shd w:val="clear" w:color="auto" w:fill="FFF2CC"/>
            <w:vAlign w:val="top"/>
          </w:tcPr>
          <w:p>
            <w:r>
              <w:rPr>
                <w:sz w:val="16"/>
              </w:rPr>
              <w:t>42</w:t>
            </w:r>
          </w:p>
        </w:tc>
        <w:tc>
          <w:tcPr>
            <w:tcW w:type="dxa" w:w="2880"/>
            <w:shd w:val="clear" w:color="auto" w:fill="FFF2CC"/>
            <w:vAlign w:val="top"/>
          </w:tcPr>
          <w:p>
            <w:r>
              <w:rPr>
                <w:b/>
                <w:sz w:val="16"/>
              </w:rPr>
              <w:t xml:space="preserve">[REVISED] </w:t>
            </w:r>
            <w:r>
              <w:rPr>
                <w:sz w:val="16"/>
              </w:rPr>
              <w:t>CRediT authorship contribution statement</w:t>
            </w:r>
          </w:p>
        </w:tc>
        <w:tc>
          <w:tcPr>
            <w:tcW w:type="dxa" w:w="5760"/>
            <w:shd w:val="clear" w:color="auto" w:fill="FFF2CC"/>
            <w:vAlign w:val="top"/>
          </w:tcPr>
          <w:p>
            <w:r>
              <w:rPr>
                <w:sz w:val="16"/>
              </w:rPr>
              <w:t>(was: CRediT Authorship Contribution Statement)</w:t>
              <w:br/>
              <w:br/>
              <w:t>Yuyong Kim: Conceptualization, Methodology, Software, Validation, Formal analysis, Investigation, Data curation, Writing – original draft, Writing – review &amp; editing, Visualization.</w:t>
            </w:r>
          </w:p>
        </w:tc>
        <w:tc>
          <w:tcPr>
            <w:tcW w:type="dxa" w:w="5760"/>
            <w:shd w:val="clear" w:color="auto" w:fill="FFF2CC"/>
            <w:vAlign w:val="top"/>
          </w:tcPr>
          <w:p>
            <w:r>
              <w:rPr>
                <w:sz w:val="16"/>
              </w:rPr>
              <w:t>Yuyong Kim: Conceptualization, Methodology, Software, Validation, Formal analysis, Investigation, Data curation, Visualization, Writing - original draft, Writing - review and editing.</w:t>
            </w:r>
          </w:p>
        </w:tc>
      </w:tr>
      <w:tr>
        <w:tc>
          <w:tcPr>
            <w:tcW w:type="dxa" w:w="576"/>
            <w:shd w:val="clear" w:color="auto" w:fill="E2F0D9"/>
            <w:vAlign w:val="top"/>
          </w:tcPr>
          <w:p>
            <w:r>
              <w:rPr>
                <w:sz w:val="16"/>
              </w:rPr>
              <w:t>43</w:t>
            </w:r>
          </w:p>
        </w:tc>
        <w:tc>
          <w:tcPr>
            <w:tcW w:type="dxa" w:w="2880"/>
            <w:shd w:val="clear" w:color="auto" w:fill="E2F0D9"/>
            <w:vAlign w:val="top"/>
          </w:tcPr>
          <w:p>
            <w:r>
              <w:rPr>
                <w:b/>
                <w:sz w:val="16"/>
              </w:rPr>
              <w:t xml:space="preserve">[NEW] </w:t>
            </w:r>
            <w:r>
              <w:rPr>
                <w:sz w:val="16"/>
              </w:rPr>
              <w:t>Funding</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This research did not receive any specific grant from funding agencies in the public, commercial, or not-for-profit sectors.</w:t>
            </w:r>
          </w:p>
        </w:tc>
      </w:tr>
      <w:tr>
        <w:tc>
          <w:tcPr>
            <w:tcW w:type="dxa" w:w="576"/>
            <w:shd w:val="clear" w:color="auto" w:fill="FFF2CC"/>
            <w:vAlign w:val="top"/>
          </w:tcPr>
          <w:p>
            <w:r>
              <w:rPr>
                <w:sz w:val="16"/>
              </w:rPr>
              <w:t>44</w:t>
            </w:r>
          </w:p>
        </w:tc>
        <w:tc>
          <w:tcPr>
            <w:tcW w:type="dxa" w:w="2880"/>
            <w:shd w:val="clear" w:color="auto" w:fill="FFF2CC"/>
            <w:vAlign w:val="top"/>
          </w:tcPr>
          <w:p>
            <w:r>
              <w:rPr>
                <w:b/>
                <w:sz w:val="16"/>
              </w:rPr>
              <w:t xml:space="preserve">[REVISED] </w:t>
            </w:r>
            <w:r>
              <w:rPr>
                <w:sz w:val="16"/>
              </w:rPr>
              <w:t>Code and Data Availability</w:t>
            </w:r>
          </w:p>
        </w:tc>
        <w:tc>
          <w:tcPr>
            <w:tcW w:type="dxa" w:w="5760"/>
            <w:shd w:val="clear" w:color="auto" w:fill="FFF2CC"/>
            <w:vAlign w:val="top"/>
          </w:tcPr>
          <w:p>
            <w:r>
              <w:rPr>
                <w:sz w:val="16"/>
              </w:rPr>
              <w:t>(was: 7.1 Golden dataset validation)</w:t>
              <w:br/>
              <w:br/>
              <w:t>220 synthetic golden cases across seven disciplines: Each golden case was constructed through the following procedure: Seed data selection. Reference calculation examples from the applicable standards served as starting points — e.g., ASME B31.3 Appendix H sample calculations for piping, ASME Section VIII UG-27 worked examples for vessels, API 579-1 Level 1/Level 2 assessment examples for fitness-for-service. Systematic parameter perturbation. Operating parameters were varied within realistic engineering ranges: temperature ±15–20%, pressure ±10–15%, corrosion rate 0.05–0.50 mm/yr, wall thickness from well-above-minimum to below-minimum. Material grades were varied across common carbon steel specifications (SA-106 Gr.B, SA-516-70, SA-240-316L). Case classification. Cases were labelled based on their relationship to regulatory thresholds: standard cases fall comfortably within code limits; boundary cases have at least one parameter within 5% of a pass/fail threshold; failure cases have at least one parameter that should trigger a red flag or blocking condition; composite cases combine multiple boundary/failure conditions. Runtime validation …[truncated]</w:t>
            </w:r>
          </w:p>
        </w:tc>
        <w:tc>
          <w:tcPr>
            <w:tcW w:type="dxa" w:w="5760"/>
            <w:shd w:val="clear" w:color="auto" w:fill="FFF2CC"/>
            <w:vAlign w:val="top"/>
          </w:tcPr>
          <w:p>
            <w:r>
              <w:rPr>
                <w:sz w:val="16"/>
              </w:rPr>
              <w:t>Source code, golden datasets, the 60-scenario ablation set, the 50-query curated retrieval benchmark, the SQLite FTS5 index manifest, and the orchestration scripts are publicly released under the AGPL-3.0 license at https://github.com/yuyongkim/did-you-check-kosha (revision tag: jlp-revised-v2). A detailed code-to-paper mapping is provided in docs/publication/CODE_MAP.md, and the paper source aligned to this release is docs/publication/submissions_EPC/jlp_revision_2026-05-08/_archive/PAPER_JLP_REVISED_v3.md. The KOSHA regulatory snapshot was harvested on 2026-02-28 (UTC); the manifest is at datasets/kosha/manifest.json.</w:t>
            </w:r>
          </w:p>
        </w:tc>
      </w:tr>
      <w:tr>
        <w:tc>
          <w:tcPr>
            <w:tcW w:type="dxa" w:w="576"/>
            <w:shd w:val="clear" w:color="auto" w:fill="E2F0D9"/>
            <w:vAlign w:val="top"/>
          </w:tcPr>
          <w:p>
            <w:r>
              <w:rPr>
                <w:sz w:val="16"/>
              </w:rPr>
              <w:t>45</w:t>
            </w:r>
          </w:p>
        </w:tc>
        <w:tc>
          <w:tcPr>
            <w:tcW w:type="dxa" w:w="2880"/>
            <w:shd w:val="clear" w:color="auto" w:fill="E2F0D9"/>
            <w:vAlign w:val="top"/>
          </w:tcPr>
          <w:p>
            <w:r>
              <w:rPr>
                <w:b/>
                <w:sz w:val="16"/>
              </w:rPr>
              <w:t xml:space="preserve">[NEW] </w:t>
            </w:r>
            <w:r>
              <w:rPr>
                <w:sz w:val="16"/>
              </w:rPr>
              <w:t>Acronyms</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r>
          </w:p>
        </w:tc>
      </w:tr>
      <w:tr>
        <w:tc>
          <w:tcPr>
            <w:tcW w:type="dxa" w:w="576"/>
            <w:shd w:val="clear" w:color="auto" w:fill="FFF2CC"/>
            <w:vAlign w:val="top"/>
          </w:tcPr>
          <w:p>
            <w:r>
              <w:rPr>
                <w:sz w:val="16"/>
              </w:rPr>
              <w:t>46</w:t>
            </w:r>
          </w:p>
        </w:tc>
        <w:tc>
          <w:tcPr>
            <w:tcW w:type="dxa" w:w="2880"/>
            <w:shd w:val="clear" w:color="auto" w:fill="FFF2CC"/>
            <w:vAlign w:val="top"/>
          </w:tcPr>
          <w:p>
            <w:r>
              <w:rPr>
                <w:b/>
                <w:sz w:val="16"/>
              </w:rPr>
              <w:t xml:space="preserve">[REVISED] </w:t>
            </w:r>
            <w:r>
              <w:rPr>
                <w:sz w:val="16"/>
              </w:rPr>
              <w:t>Key Definitions</w:t>
            </w:r>
          </w:p>
        </w:tc>
        <w:tc>
          <w:tcPr>
            <w:tcW w:type="dxa" w:w="5760"/>
            <w:shd w:val="clear" w:color="auto" w:fill="FFF2CC"/>
            <w:vAlign w:val="top"/>
          </w:tcPr>
          <w:p>
            <w:r>
              <w:rPr>
                <w:sz w:val="16"/>
              </w:rPr>
              <w:t>(was: 3.1 Definition)</w:t>
              <w:br/>
              <w:br/>
              <w:t>Jurisdiction compliance gap. The set of regulatory obligations imposed by national statute or agency guideline that are structurally absent from international engineering code calculations, such that a system may be technically code-compliant while remaining legally non-compliant under the applicable local jurisdiction.</w:t>
            </w:r>
          </w:p>
        </w:tc>
        <w:tc>
          <w:tcPr>
            <w:tcW w:type="dxa" w:w="5760"/>
            <w:shd w:val="clear" w:color="auto" w:fill="FFF2CC"/>
            <w:vAlign w:val="top"/>
          </w:tcPr>
          <w:p>
            <w:r>
              <w:rPr>
                <w:sz w:val="16"/>
              </w:rPr>
              <w:t>Jurisdiction compliance gap — the set of regulatory obligations imposed by national statute or agency guideline (here, Korean PSM law and KOSHA technical guidelines) that are structurally absent from international engineering code calculations, such that a system may be technically code-compliant while remaining legally non-compliant under the applicable local jurisdiction (§7.1). K-voting — a Layer-2 verification mechanism in which K=3 calculation paths execute in parallel using deliberately varied numerical strategies, with maximum relative deviation among outputs constrained to ≤ 1%; failure invokes a tiebreaker and, on persistence, raises a no_consensus flag (§5.2, §5.4). Coupling validation — the cross-discipline check across ten predefined domain pairs that fires when an output of one discipline crosses a coupling threshold defined relative to another (e.g., piping reaction force vs vessel nozzle allowable; foundation settlement vs rotating-equipment alignment tolerance) (§5.3). Implementation verification — confirmation that the system faithfully encodes the standards and rules it claims to implement, evaluated against cases derived from the same standards. Distinguished …[truncated]</w:t>
            </w:r>
          </w:p>
        </w:tc>
      </w:tr>
      <w:tr>
        <w:tc>
          <w:tcPr>
            <w:tcW w:type="dxa" w:w="576"/>
            <w:shd w:val="clear" w:color="auto" w:fill="E2F0D9"/>
            <w:vAlign w:val="top"/>
          </w:tcPr>
          <w:p>
            <w:r>
              <w:rPr>
                <w:sz w:val="16"/>
              </w:rPr>
              <w:t>47</w:t>
            </w:r>
          </w:p>
        </w:tc>
        <w:tc>
          <w:tcPr>
            <w:tcW w:type="dxa" w:w="2880"/>
            <w:shd w:val="clear" w:color="auto" w:fill="E2F0D9"/>
            <w:vAlign w:val="top"/>
          </w:tcPr>
          <w:p>
            <w:r>
              <w:rPr>
                <w:b/>
                <w:sz w:val="16"/>
              </w:rPr>
              <w:t xml:space="preserve">[NEW] </w:t>
            </w:r>
            <w:r>
              <w:rPr>
                <w:sz w:val="16"/>
              </w:rPr>
              <w:t>Appendix A. Real-Plant Pipeline-Execution Evidence (VES-REAL-001)</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r>
          </w:p>
        </w:tc>
      </w:tr>
      <w:tr>
        <w:tc>
          <w:tcPr>
            <w:tcW w:type="dxa" w:w="576"/>
            <w:shd w:val="clear" w:color="auto" w:fill="FFF2CC"/>
            <w:vAlign w:val="top"/>
          </w:tcPr>
          <w:p>
            <w:r>
              <w:rPr>
                <w:sz w:val="16"/>
              </w:rPr>
              <w:t>48</w:t>
            </w:r>
          </w:p>
        </w:tc>
        <w:tc>
          <w:tcPr>
            <w:tcW w:type="dxa" w:w="2880"/>
            <w:shd w:val="clear" w:color="auto" w:fill="FFF2CC"/>
            <w:vAlign w:val="top"/>
          </w:tcPr>
          <w:p>
            <w:r>
              <w:rPr>
                <w:b/>
                <w:sz w:val="16"/>
              </w:rPr>
              <w:t xml:space="preserve">[REVISED] </w:t>
            </w:r>
            <w:r>
              <w:rPr>
                <w:sz w:val="16"/>
              </w:rPr>
              <w:t>A.1 Anonymisation policy and provenance</w:t>
            </w:r>
          </w:p>
        </w:tc>
        <w:tc>
          <w:tcPr>
            <w:tcW w:type="dxa" w:w="5760"/>
            <w:shd w:val="clear" w:color="auto" w:fill="FFF2CC"/>
            <w:vAlign w:val="top"/>
          </w:tcPr>
          <w:p>
            <w:r>
              <w:rPr>
                <w:sz w:val="16"/>
              </w:rPr>
              <w:t>(was: 6.3 Layer 3 — Physics and code compliance)</w:t>
              <w:br/>
              <w:br/>
              <w:t>Domain-specific red flags are enforced by rule-based checks. Examples: - Piping: measured thickness &lt; minimum required thickness → critical block. - Vessel: remaining life &lt; 0 → critical block. - Rotating: vibration exceeds API 670 alert level → warning. - Electrical: arc-flash energy &gt; 40 cal/cm² → PPE Category 4 escalation. All major calculation steps carry explicit standard citations (e.g., “ASME B31.3 §304.1.2”).</w:t>
            </w:r>
          </w:p>
        </w:tc>
        <w:tc>
          <w:tcPr>
            <w:tcW w:type="dxa" w:w="5760"/>
            <w:shd w:val="clear" w:color="auto" w:fill="FFF2CC"/>
            <w:vAlign w:val="top"/>
          </w:tcPr>
          <w:p>
            <w:r>
              <w:rPr>
                <w:sz w:val="16"/>
              </w:rPr>
              <w:t>This appendix exercises the proposed framework against a real engineering data sheet drawn from an operating petrochemical project. All client, contractor, licensor, personnel, location, project-name, document-ID, and equipment-tag identifiers were stripped before the data sheet was carried into this manuscript or any version-controlled artefact in the repository. The case is referred to throughout this paper, the supporting scripts, and the JSON/Markdown evidence files only as VES-REAL-001. The technical specifications below — material, design and operating pressures and temperatures, dimensions, corrosion allowance, joint-efficiency assumption, fluid specific gravity — are reproduced as supplied by the data sheet and contain no information that could re-identify the source plant, vendor, or design house. No image, watermark, page header, or layout fragment from the source PDF has been embedded in this manuscript. The source PDF itself is retained outside the publication tree (docs/publication/submissions_EPC/Plant_data/, not part of the version-controlled paper bundle) and is not redistributed.</w:t>
            </w:r>
          </w:p>
        </w:tc>
      </w:tr>
      <w:tr>
        <w:tc>
          <w:tcPr>
            <w:tcW w:type="dxa" w:w="576"/>
            <w:shd w:val="clear" w:color="auto" w:fill="E2F0D9"/>
            <w:vAlign w:val="top"/>
          </w:tcPr>
          <w:p>
            <w:r>
              <w:rPr>
                <w:sz w:val="16"/>
              </w:rPr>
              <w:t>49</w:t>
            </w:r>
          </w:p>
        </w:tc>
        <w:tc>
          <w:tcPr>
            <w:tcW w:type="dxa" w:w="2880"/>
            <w:shd w:val="clear" w:color="auto" w:fill="E2F0D9"/>
            <w:vAlign w:val="top"/>
          </w:tcPr>
          <w:p>
            <w:r>
              <w:rPr>
                <w:b/>
                <w:sz w:val="16"/>
              </w:rPr>
              <w:t xml:space="preserve">[NEW] </w:t>
            </w:r>
            <w:r>
              <w:rPr>
                <w:sz w:val="16"/>
              </w:rPr>
              <w:t>A.2 Anonymised vessel specification</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The vessel under test is a cryogenic flare knockout drum. Source of all numbers below: outputs/real_case_ves001_rag.json produced by scripts/run_real_case_ves001_rag.py. No number in this appendix has been edited by hand.</w:t>
            </w:r>
          </w:p>
        </w:tc>
      </w:tr>
      <w:tr>
        <w:tc>
          <w:tcPr>
            <w:tcW w:type="dxa" w:w="576"/>
            <w:shd w:val="clear" w:color="auto" w:fill="FFF2CC"/>
            <w:vAlign w:val="top"/>
          </w:tcPr>
          <w:p>
            <w:r>
              <w:rPr>
                <w:sz w:val="16"/>
              </w:rPr>
              <w:t>50</w:t>
            </w:r>
          </w:p>
        </w:tc>
        <w:tc>
          <w:tcPr>
            <w:tcW w:type="dxa" w:w="2880"/>
            <w:shd w:val="clear" w:color="auto" w:fill="FFF2CC"/>
            <w:vAlign w:val="top"/>
          </w:tcPr>
          <w:p>
            <w:r>
              <w:rPr>
                <w:b/>
                <w:sz w:val="16"/>
              </w:rPr>
              <w:t xml:space="preserve">[REVISED] </w:t>
            </w:r>
            <w:r>
              <w:rPr>
                <w:sz w:val="16"/>
              </w:rPr>
              <w:t>A.3 Calculation-engine output</w:t>
            </w:r>
          </w:p>
        </w:tc>
        <w:tc>
          <w:tcPr>
            <w:tcW w:type="dxa" w:w="5760"/>
            <w:shd w:val="clear" w:color="auto" w:fill="FFF2CC"/>
            <w:vAlign w:val="top"/>
          </w:tcPr>
          <w:p>
            <w:r>
              <w:rPr>
                <w:sz w:val="16"/>
              </w:rPr>
              <w:t>(was: Declaration of Competing Interest)</w:t>
              <w:br/>
              <w:br/>
              <w:t>The author declares no known competing financial interests or personal relationships that could have appeared to influence this work.</w:t>
            </w:r>
          </w:p>
        </w:tc>
        <w:tc>
          <w:tcPr>
            <w:tcW w:type="dxa" w:w="5760"/>
            <w:shd w:val="clear" w:color="auto" w:fill="FFF2CC"/>
            <w:vAlign w:val="top"/>
          </w:tcPr>
          <w:p>
            <w:r>
              <w:rPr>
                <w:sz w:val="16"/>
              </w:rPr>
              <w:t>The cryogenic side (-190 °C) is outside the input-validation range of the deployed Layer-1 schema (-50 °C ≤ design_temperature_c ≤ 650 °C). The full four-layer engine is therefore run on the +190 °C side; the cryogenic side is treated by directly invoking the underlying ASME Section VIII Div.1 UG-27 routine (src/vessel/calculations.py :: calculate_required_shell_thickness_mm) with the lowest-tabulated allowable stress (S at 20 °C = 132.0 MPa for SA-240-304L), which is the conventional surrogate for cryogenic shell sizing because allowable stress is not raised below 20 °C. Material toughness for the -190 °C MDMT is governed by ASME Section VIII UHA-51 impact-test rules and is out of scope of the current calculation engine; this is reported honestly here rather than back-filled. Direct UG-27 results (formula t = (P·R) / (S·E - 0.6·P) + CA): The hot side governs: the controlling required shell thickness is 7.237 mm. The Layer-4 reverse-pressure check returns the design pressure to within machine epsilon (deviation &lt; 0.001 %), as expected for an internally consistent UG-27 forward/reverse pair. Engine full-run hot-side dimensional metrics (E = 1.0; horizontal drum; 2:1 ellipsoidal …[truncated]</w:t>
            </w:r>
          </w:p>
        </w:tc>
      </w:tr>
      <w:tr>
        <w:tc>
          <w:tcPr>
            <w:tcW w:type="dxa" w:w="576"/>
            <w:shd w:val="clear" w:color="auto" w:fill="E2F0D9"/>
            <w:vAlign w:val="top"/>
          </w:tcPr>
          <w:p>
            <w:r>
              <w:rPr>
                <w:sz w:val="16"/>
              </w:rPr>
              <w:t>51</w:t>
            </w:r>
          </w:p>
        </w:tc>
        <w:tc>
          <w:tcPr>
            <w:tcW w:type="dxa" w:w="2880"/>
            <w:shd w:val="clear" w:color="auto" w:fill="E2F0D9"/>
            <w:vAlign w:val="top"/>
          </w:tcPr>
          <w:p>
            <w:r>
              <w:rPr>
                <w:b/>
                <w:sz w:val="16"/>
              </w:rPr>
              <w:t xml:space="preserve">[NEW] </w:t>
            </w:r>
            <w:r>
              <w:rPr>
                <w:sz w:val="16"/>
              </w:rPr>
              <w:t>A.4 KOSHA RAG retrieval — both query variants</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Two query variants were issued through the same retrieval code path used in the rest of the paper (src.rag.local_kosha_rag.search_index against the live SQLite FTS index). Variant A — generic_cryogenic_flare_drum_en (discipline filter = vessel). Spec-faithful natural query: “cryogenic flare knockout drum austenitic stainless steel pressure vessel low temperature service full vacuum 압력용기 저온 플레어”. Returns 10/10 vessel-discipline hits: 2 mandatory law-article hits + 8 KOSHA technical guides. Top-3: Variant B — narrow_cryogenic_kr_terms (no discipline filter). Narrower probe: “저온 cryogenic 플레어 flare 스테인리스 stainless 압력용기 산업안전보건 process safety”. Returns 10/10 hits: 1 mandatory law-article hit + 9 KOSHA guides / PSM technical-support documents. Top-3: The first mandatory hit in Variant B is at rank 5: KOSHA04_002000002000004000000000266000 — 제266조 차단밸브의 설치 금지 (Article 266, Rules on Occupational Safety and Health Standards: prohibition on installing block valves on safety-critical relief / flare paths). This is a directly relevant Korean-jurisdiction obligation for a flare knockout drum; ASME Section VIII Div.1 alone does not surface it. The full top-10 of each variant, with bm25 scores …[truncated]</w:t>
            </w:r>
          </w:p>
        </w:tc>
      </w:tr>
      <w:tr>
        <w:tc>
          <w:tcPr>
            <w:tcW w:type="dxa" w:w="576"/>
            <w:shd w:val="clear" w:color="auto" w:fill="E2F0D9"/>
            <w:vAlign w:val="top"/>
          </w:tcPr>
          <w:p>
            <w:r>
              <w:rPr>
                <w:sz w:val="16"/>
              </w:rPr>
              <w:t>52</w:t>
            </w:r>
          </w:p>
        </w:tc>
        <w:tc>
          <w:tcPr>
            <w:tcW w:type="dxa" w:w="2880"/>
            <w:shd w:val="clear" w:color="auto" w:fill="E2F0D9"/>
            <w:vAlign w:val="top"/>
          </w:tcPr>
          <w:p>
            <w:r>
              <w:rPr>
                <w:b/>
                <w:sz w:val="16"/>
              </w:rPr>
              <w:t xml:space="preserve">[NEW] </w:t>
            </w:r>
            <w:r>
              <w:rPr>
                <w:sz w:val="16"/>
              </w:rPr>
              <w:t>A.5 What this confirms</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The system runs end-to-end on a real EPC vessel data sheet without any code modification: the calculation engine produces a deterministic UG-27 thickness (7.237 mm controlling) that closes its own reverse check to machine epsilon, the engine’s dimension layer correctly returns shell volume and L/D screening from the supplied geometry, and the input-validator correctly rejects the cryogenic temperature as out-of-scope rather than silently extrapolating an allowable-stress lookup. KOSHA RAG, queried with a spec-faithful natural query, surfaces a coherent set of jurisdiction-relevant KOSHA technical guides on pressure vessel weld design (M-111-2015), remaining-life assessment (M-69-2012), pressure-vessel repair (M-113-2012), post-weld heat treatment (M-184-2015), and thickness-loss risk assessment (M-109-2012); the narrow Korean-term probe additionally returns Article 266 of the Rules on Occupational Safety and Health Standards — the Korean statutory provision restricting block-valve installation on flare and relief paths — at rank 5, mandatory class. The retrieval is therefore not weak: the spec-faithful variant returns 2 mandatory + 8 vessel-relevant guidance hits, and the narrow …[truncated]</w:t>
            </w:r>
          </w:p>
        </w:tc>
      </w:tr>
      <w:tr>
        <w:tc>
          <w:tcPr>
            <w:tcW w:type="dxa" w:w="576"/>
            <w:shd w:val="clear" w:color="auto" w:fill="FFF2CC"/>
            <w:vAlign w:val="top"/>
          </w:tcPr>
          <w:p>
            <w:r>
              <w:rPr>
                <w:sz w:val="16"/>
              </w:rPr>
              <w:t>53</w:t>
            </w:r>
          </w:p>
        </w:tc>
        <w:tc>
          <w:tcPr>
            <w:tcW w:type="dxa" w:w="2880"/>
            <w:shd w:val="clear" w:color="auto" w:fill="FFF2CC"/>
            <w:vAlign w:val="top"/>
          </w:tcPr>
          <w:p>
            <w:r>
              <w:rPr>
                <w:b/>
                <w:sz w:val="16"/>
              </w:rPr>
              <w:t xml:space="preserve">[REVISED] </w:t>
            </w:r>
            <w:r>
              <w:rPr>
                <w:sz w:val="16"/>
              </w:rPr>
              <w:t>A.6 Synthetic-data framing considerations</w:t>
            </w:r>
          </w:p>
        </w:tc>
        <w:tc>
          <w:tcPr>
            <w:tcW w:type="dxa" w:w="5760"/>
            <w:shd w:val="clear" w:color="auto" w:fill="FFF2CC"/>
            <w:vAlign w:val="top"/>
          </w:tcPr>
          <w:p>
            <w:r>
              <w:rPr>
                <w:sz w:val="16"/>
              </w:rPr>
              <w:t>(was: 6.1 Layer 1 — Input validation)</w:t>
              <w:br/>
              <w:br/>
              <w:t>Mandatory field presence, unit contract compliance, and domain-specific range constraints. Missing critical fields or unit violations trigger a blocking error that prevents downstream calculation. This layer gates all subsequent processing.</w:t>
            </w:r>
          </w:p>
        </w:tc>
        <w:tc>
          <w:tcPr>
            <w:tcW w:type="dxa" w:w="5760"/>
            <w:shd w:val="clear" w:color="auto" w:fill="FFF2CC"/>
            <w:vAlign w:val="top"/>
          </w:tcPr>
          <w:p>
            <w:r>
              <w:rPr>
                <w:sz w:val="16"/>
              </w:rPr>
              <w:t>This real-plant case responds directly to the concern that the §6 evaluation rests on synthetic data alone. What VES-REAL-001 demonstrates is that the pipeline runs end-to-end on a real EPC vessel data sheet, that ASME UG-27 governs cleanly, that the engine correctly rejects out-of-scope inputs (the −190 °C cryogenic side returns STD.OUT_OF_SCOPE_APPLICATION rather than a fabricated answer), and that KOSHA RAG retrieval surfaces jurisdiction-relevant guidance and at least one mandatory provision (Article 266 on flare-path block-valve prohibition) on a real-plant query. What VES-REAL-001 does not demonstrate is external accuracy validation against an independently audited reference: the data sheet supplies design inputs but no independently measured outputs, so the case shows execution and retrieval behaviour, not predictive fidelity. Predictive validation against operating-record outcomes remains future work (§8 Limitation 1). Reproduction. python scripts/run_real_case_ves001_rag.py regenerates outputs/real_case_ves001_rag.json and outputs/real_case_ves001_rag.md. The KOSHA RAG index used is datasets/kosha_rag/kosha_local_rag.sqlite3. No randomness; outputs are deterministic.</w:t>
            </w:r>
          </w:p>
        </w:tc>
      </w:tr>
      <w:tr>
        <w:tc>
          <w:tcPr>
            <w:tcW w:type="dxa" w:w="576"/>
            <w:shd w:val="clear" w:color="auto" w:fill="E2F0D9"/>
            <w:vAlign w:val="top"/>
          </w:tcPr>
          <w:p>
            <w:r>
              <w:rPr>
                <w:sz w:val="16"/>
              </w:rPr>
              <w:t>54</w:t>
            </w:r>
          </w:p>
        </w:tc>
        <w:tc>
          <w:tcPr>
            <w:tcW w:type="dxa" w:w="2880"/>
            <w:shd w:val="clear" w:color="auto" w:fill="E2F0D9"/>
            <w:vAlign w:val="top"/>
          </w:tcPr>
          <w:p>
            <w:r>
              <w:rPr>
                <w:b/>
                <w:sz w:val="16"/>
              </w:rPr>
              <w:t xml:space="preserve">[NEW] </w:t>
            </w:r>
            <w:r>
              <w:rPr>
                <w:sz w:val="16"/>
              </w:rPr>
              <w:t>Appendix B — Extended validation evidence</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This appendix consolidates four supplementary measurements (per-discipline accuracy spread, recall saturation, pipeline latency, retrieval failure inventory) and a reproducibility statement. Every table is regenerated by scripts/reproduce_all.py (13/13 scripts pass on a clean run).</w:t>
            </w:r>
          </w:p>
        </w:tc>
      </w:tr>
      <w:tr>
        <w:tc>
          <w:tcPr>
            <w:tcW w:type="dxa" w:w="576"/>
            <w:shd w:val="clear" w:color="auto" w:fill="E2F0D9"/>
            <w:vAlign w:val="top"/>
          </w:tcPr>
          <w:p>
            <w:r>
              <w:rPr>
                <w:sz w:val="16"/>
              </w:rPr>
              <w:t>55</w:t>
            </w:r>
          </w:p>
        </w:tc>
        <w:tc>
          <w:tcPr>
            <w:tcW w:type="dxa" w:w="2880"/>
            <w:shd w:val="clear" w:color="auto" w:fill="E2F0D9"/>
            <w:vAlign w:val="top"/>
          </w:tcPr>
          <w:p>
            <w:r>
              <w:rPr>
                <w:b/>
                <w:sz w:val="16"/>
              </w:rPr>
              <w:t xml:space="preserve">[NEW] </w:t>
            </w:r>
            <w:r>
              <w:rPr>
                <w:sz w:val="16"/>
              </w:rPr>
              <w:t>B.1 Per-discipline calculation accuracy</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A natural follow-up question is whether the system performs unevenly across disciplines. Per-discipline breakdown (outputs/per_discipline_accuracy.md): Total cases: 220 Passed cases: 220 Overall accuracy: 1.0000 Source dataset: datasets/golden_standards/*_golden_dataset_v1.json Code path: scripts/benchmark_all_runtime.py (re-used). Per-Discipline Table Red-flag Confusion (Per-Discipline). Per-flag, per-case counts: TP = expected and predicted; FP = predicted but not expected; FN = expected but not predicted. Caveat (self-consistency, not external ground-truth fidelity). The expected outputs in datasets/golden_standards/*.json were generated by the same calculation engine that the runtime now reproduces. The 1.0000 uniform accuracy therefore measures implementation self-consistency — the engine’s behaviour at runtime matches its behaviour at dataset-generation time — not external fidelity to a separately validated reference. This caveat is consistent with the “implementation verification, not predictive validation” framing of §6.1 and is restated as Limitation 8 in §8.</w:t>
            </w:r>
          </w:p>
        </w:tc>
      </w:tr>
      <w:tr>
        <w:tc>
          <w:tcPr>
            <w:tcW w:type="dxa" w:w="576"/>
            <w:shd w:val="clear" w:color="auto" w:fill="E2F0D9"/>
            <w:vAlign w:val="top"/>
          </w:tcPr>
          <w:p>
            <w:r>
              <w:rPr>
                <w:sz w:val="16"/>
              </w:rPr>
              <w:t>56</w:t>
            </w:r>
          </w:p>
        </w:tc>
        <w:tc>
          <w:tcPr>
            <w:tcW w:type="dxa" w:w="2880"/>
            <w:shd w:val="clear" w:color="auto" w:fill="E2F0D9"/>
            <w:vAlign w:val="top"/>
          </w:tcPr>
          <w:p>
            <w:r>
              <w:rPr>
                <w:b/>
                <w:sz w:val="16"/>
              </w:rPr>
              <w:t xml:space="preserve">[NEW] </w:t>
            </w:r>
            <w:r>
              <w:rPr>
                <w:sz w:val="16"/>
              </w:rPr>
              <w:t>B.2 Recall@K extension (K = 1..10)</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Per-K table from outputs/rag_retrieval_extended.md (Dataset: datasets/kosha_rag/rag_eval_queries.json; queries: 50; bootstrap draws: 1000, seed=20260508): Point Estimates per K Paired Difference (Enhanced − Plain) per K The Enhanced curve saturates at 0.8621 from K = 3; the Plain curve continues to rise. Paired-bootstrap 95% CI on the Enhanced − Plain delta excludes zero only at K∈{1, 2}. The headline retrieval claim of the paper is therefore narrowed to Recall@1 and MRR@10 (§6.5).</w:t>
            </w:r>
          </w:p>
        </w:tc>
      </w:tr>
      <w:tr>
        <w:tc>
          <w:tcPr>
            <w:tcW w:type="dxa" w:w="576"/>
            <w:shd w:val="clear" w:color="auto" w:fill="E2F0D9"/>
            <w:vAlign w:val="top"/>
          </w:tcPr>
          <w:p>
            <w:r>
              <w:rPr>
                <w:sz w:val="16"/>
              </w:rPr>
              <w:t>57</w:t>
            </w:r>
          </w:p>
        </w:tc>
        <w:tc>
          <w:tcPr>
            <w:tcW w:type="dxa" w:w="2880"/>
            <w:shd w:val="clear" w:color="auto" w:fill="E2F0D9"/>
            <w:vAlign w:val="top"/>
          </w:tcPr>
          <w:p>
            <w:r>
              <w:rPr>
                <w:b/>
                <w:sz w:val="16"/>
              </w:rPr>
              <w:t xml:space="preserve">[NEW] </w:t>
            </w:r>
            <w:r>
              <w:rPr>
                <w:sz w:val="16"/>
              </w:rPr>
              <w:t>B.3 Pipeline end-to-end latency</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Median latency per stage on a commodity AMD x86-64 CPU under Python 3.13 (outputs/pipeline_latency.md; Platform: Windows 10 (AMD64); CPU: AMD64 Family 25 Model 33 Stepping 2; repetitions per stage: 5): Per-Discipline Layered Stack (Layers 1–4 Combined, service.evaluate) Piping Per-Layer Breakdown (case PIP-GOLD-001): Cross-Discipline Validator (one paired call across 7 disciplines): median 0.028 ms, p95 0.045 ms, min/max 0.021 / 0.045 ms. KOSHA RAG Retrieval (top-10): query pressure vessel remaining life assessment, hit count 4, median 1.151 ms, p95 3.351 ms, min/max 1.018 / 3.351 ms. KOSHA RAG Generation (Qwen via Ollama): model qwen3:4b, prompt 2,054 chars, median 41,725.0 ms, p95 62,277.2 ms, min/max 31,919.7 / 62,277.2 ms. End-to-End Median. Composition: piping service.evaluate median + cross-discipline validator median + RAG retrieval median (+ RAG generation median). End-to-end median: 41,726.22 ms. The deterministic stack (input validation, K-voting, physics/code compliance, reverse verification, cross-discipline validator, BM25 retrieval) completes in approximately 1.2 ms per case. The Qwen-family generation step on the on-premises Ollama server adds approximately 42 s …[truncated]</w:t>
            </w:r>
          </w:p>
        </w:tc>
      </w:tr>
      <w:tr>
        <w:tc>
          <w:tcPr>
            <w:tcW w:type="dxa" w:w="576"/>
            <w:shd w:val="clear" w:color="auto" w:fill="E2F0D9"/>
            <w:vAlign w:val="top"/>
          </w:tcPr>
          <w:p>
            <w:r>
              <w:rPr>
                <w:sz w:val="16"/>
              </w:rPr>
              <w:t>58</w:t>
            </w:r>
          </w:p>
        </w:tc>
        <w:tc>
          <w:tcPr>
            <w:tcW w:type="dxa" w:w="2880"/>
            <w:shd w:val="clear" w:color="auto" w:fill="E2F0D9"/>
            <w:vAlign w:val="top"/>
          </w:tcPr>
          <w:p>
            <w:r>
              <w:rPr>
                <w:b/>
                <w:sz w:val="16"/>
              </w:rPr>
              <w:t xml:space="preserve">[NEW] </w:t>
            </w:r>
            <w:r>
              <w:rPr>
                <w:sz w:val="16"/>
              </w:rPr>
              <w:t>B.4 Retrieval failure inventory</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Honest disclosure of where retrieval still misses on the 50-query curated benchmark (outputs/retrieval_failure_inventory.md; Enhanced FTS, K=5 threshold; failure rule: failure := first_relevant_rank &gt; 5 OR no relevant hit in top-10; failure count 7/50 = 0.1400): Diagnosis category definitions: paraphrase_too_loose — the query phrasing diverges from the indexed chunk’s vocabulary beyond what the synonym expansion bridges; regulatory_class_mismatch — the retrieval favours a guidance-class hit when the target is a mandatory provision (or vice versa). Six of seven failures fall in paraphrase_too_loose, concentrated in the C-C-23 RBI, B-M-18 piping life, C-C-75 corrosion risk, and Article 256 corrosion-prevention groups. This single dominant failure mode is an honest input for future work on a hybrid lexical + semantic retriever (§8 future research direction (3)).</w:t>
            </w:r>
          </w:p>
        </w:tc>
      </w:tr>
      <w:tr>
        <w:tc>
          <w:tcPr>
            <w:tcW w:type="dxa" w:w="576"/>
            <w:shd w:val="clear" w:color="auto" w:fill="FFF2CC"/>
            <w:vAlign w:val="top"/>
          </w:tcPr>
          <w:p>
            <w:r>
              <w:rPr>
                <w:sz w:val="16"/>
              </w:rPr>
              <w:t>59</w:t>
            </w:r>
          </w:p>
        </w:tc>
        <w:tc>
          <w:tcPr>
            <w:tcW w:type="dxa" w:w="2880"/>
            <w:shd w:val="clear" w:color="auto" w:fill="FFF2CC"/>
            <w:vAlign w:val="top"/>
          </w:tcPr>
          <w:p>
            <w:r>
              <w:rPr>
                <w:b/>
                <w:sz w:val="16"/>
              </w:rPr>
              <w:t xml:space="preserve">[REVISED] </w:t>
            </w:r>
            <w:r>
              <w:rPr>
                <w:sz w:val="16"/>
              </w:rPr>
              <w:t>B.5 Reproducibility</w:t>
            </w:r>
          </w:p>
        </w:tc>
        <w:tc>
          <w:tcPr>
            <w:tcW w:type="dxa" w:w="5760"/>
            <w:shd w:val="clear" w:color="auto" w:fill="FFF2CC"/>
            <w:vAlign w:val="top"/>
          </w:tcPr>
          <w:p>
            <w:r>
              <w:rPr>
                <w:sz w:val="16"/>
              </w:rPr>
              <w:t>(was: 3.3 Generalisability)</w:t>
              <w:br/>
              <w:br/>
              <w:t>While we illustrate this gap in Korean jurisdiction, the concept likely applies wherever national regulations augment international codes: EU Pressure Equipment Directive layered on ASME; Saudi GACA requirements layered on FAA; Chinese GB standards layered on ISO. Any jurisdiction with a regulatory layer beyond international code calculations may exhibit analogous gaps.</w:t>
            </w:r>
          </w:p>
        </w:tc>
        <w:tc>
          <w:tcPr>
            <w:tcW w:type="dxa" w:w="5760"/>
            <w:shd w:val="clear" w:color="auto" w:fill="FFF2CC"/>
            <w:vAlign w:val="top"/>
          </w:tcPr>
          <w:p>
            <w:r>
              <w:rPr>
                <w:sz w:val="16"/>
              </w:rPr>
              <w:t>scripts/reproduce_all.py regenerates every figure, table, and outputs/*.md cited in this manuscript with a single command from a clean repository state. End-to-end run on a clean checkout: 13/13 scripts complete successfully (python scripts/reproduce_all.py). The KOSHA-corpus rebuild (network + 200 MB SQLite) is intentionally excluded from the runner and documented separately under scripts/sync_kosha_corpus.py.</w:t>
            </w:r>
          </w:p>
        </w:tc>
      </w:tr>
      <w:tr>
        <w:tc>
          <w:tcPr>
            <w:tcW w:type="dxa" w:w="576"/>
            <w:shd w:val="clear" w:color="auto" w:fill="E2F0D9"/>
            <w:vAlign w:val="top"/>
          </w:tcPr>
          <w:p>
            <w:r>
              <w:rPr>
                <w:sz w:val="16"/>
              </w:rPr>
              <w:t>60</w:t>
            </w:r>
          </w:p>
        </w:tc>
        <w:tc>
          <w:tcPr>
            <w:tcW w:type="dxa" w:w="2880"/>
            <w:shd w:val="clear" w:color="auto" w:fill="E2F0D9"/>
            <w:vAlign w:val="top"/>
          </w:tcPr>
          <w:p>
            <w:r>
              <w:rPr>
                <w:b/>
                <w:sz w:val="16"/>
              </w:rPr>
              <w:t xml:space="preserve">[NEW] </w:t>
            </w:r>
            <w:r>
              <w:rPr>
                <w:sz w:val="16"/>
              </w:rPr>
              <w:t>Declaration of generative AI and AI-assisted technologies in the manuscript preparation process</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During the preparation of this work the author used OpenAI Codex (GPT-5 based coding assistant) to help restructure prose, normalise journal-formatting details, and prepare supporting submission files. After using this tool, the author reviewed and edited the content as needed and takes full responsibility for the content of the article.</w:t>
            </w:r>
          </w:p>
        </w:tc>
      </w:tr>
      <w:tr>
        <w:tc>
          <w:tcPr>
            <w:tcW w:type="dxa" w:w="576"/>
            <w:shd w:val="clear" w:color="auto" w:fill="FFF2CC"/>
            <w:vAlign w:val="top"/>
          </w:tcPr>
          <w:p>
            <w:r>
              <w:rPr>
                <w:sz w:val="16"/>
              </w:rPr>
              <w:t>61</w:t>
            </w:r>
          </w:p>
        </w:tc>
        <w:tc>
          <w:tcPr>
            <w:tcW w:type="dxa" w:w="2880"/>
            <w:shd w:val="clear" w:color="auto" w:fill="FFF2CC"/>
            <w:vAlign w:val="top"/>
          </w:tcPr>
          <w:p>
            <w:r>
              <w:rPr>
                <w:b/>
                <w:sz w:val="16"/>
              </w:rPr>
              <w:t xml:space="preserve">[REVISED] </w:t>
            </w:r>
            <w:r>
              <w:rPr>
                <w:sz w:val="16"/>
              </w:rPr>
              <w:t>References</w:t>
            </w:r>
          </w:p>
        </w:tc>
        <w:tc>
          <w:tcPr>
            <w:tcW w:type="dxa" w:w="5760"/>
            <w:shd w:val="clear" w:color="auto" w:fill="FFF2CC"/>
            <w:vAlign w:val="top"/>
          </w:tcPr>
          <w:p>
            <w:r>
              <w:rPr>
                <w:sz w:val="16"/>
              </w:rPr>
              <w:t>Ait-Alla, A., Quandt, M., Lütjen, M., Freitag, M., 2022. On Predictive Maintenance in Industry 4.0: Overview, Models, and Challenges. Applied Sciences 12 (16), 8081. Avizienis, A., 1985. The N-version approach to fault-tolerant software. IEEE Trans. Softw. Eng. SE-11 (12), 1491–1501. Elhosary, M. et al., 2024. LLM-assisted HAZOP study using retrieval-augmented generation. IChemE Symposium Series No. 171: Hazards 34. Gao, Y., Xiong, Y., Huang, X. et al., 2024. Retrieval-Augmented Generation for Large Language Models: A Survey. arXiv:2312.10997. Hector, I., Panjanathan, R., 2024. Predictive maintenance in Industry 4.0: a survey of planning models and ML techniques. PeerJ Comput. Sci. 10, e2016. Jones, J.F. et al., 2025. AI for asset integrity management of offshore oil and gas pipelines. Life Cycle Reliability and Safety Engineering. Kim, H., Yi, J.-S., Jang, Y., 2022. Analyzing Patterns of Multi-cause Accidents From KOSHA’s Case Reports Using Text Mining. J. Architectural Institute of Korea 38 (4), 237–244. Klesel, M., Wittmann, H.F., 2025. Retrieval-Augmented Generation (RAG). Bus. Inf. Syst. Eng. 67 (4), 551–561. Lee, J., Ahn, S., 2025. AI Prototype for Construction Safety …[truncated]</w:t>
            </w:r>
          </w:p>
        </w:tc>
        <w:tc>
          <w:tcPr>
            <w:tcW w:type="dxa" w:w="5760"/>
            <w:shd w:val="clear" w:color="auto" w:fill="FFF2CC"/>
            <w:vAlign w:val="top"/>
          </w:tcPr>
          <w:p>
            <w:r>
              <w:rPr>
                <w:sz w:val="16"/>
              </w:rPr>
              <w:t>Ait-Alla, A., Quandt, M., Lutjen, M., and Freitag, M. (2022). On predictive maintenance in Industry 4.0: Overview, models, and challenges. Applied Sciences, 12(16), 8081. https://doi.org/10.3390/app12168081 API (2020). API 579-1/ASME FFS-1: Fitness-for-Service, 3rd ed. American Petroleum Institute, Washington, DC. ASME (2022). ASME B31.3-2022: Process Piping. The American Society of Mechanical Engineers, New York. Avizienis, A. (1985). The N-version approach to fault-tolerant software. IEEE Transactions on Software Engineering, SE-11(12), 1491-1501. Elhosary, M. et al. (2024). LLM-assisted HAZOP study using retrieval-augmented generation. IChemE Symposium Series No. 171: Hazards 34. Gao, Y., Xiong, Y., Huang, X. et al. (2024). Retrieval-augmented generation for large language models: A survey. arXiv preprint arXiv:2312.10997. Hector, I. and Panjanathan, R. (2024). Predictive maintenance in Industry 4.0: A survey of planning models and machine learning techniques. PeerJ Computer Science, 10, e2016. https://doi.org/10.7717/peerj-cs.2016 Jones, J.F., Raj, V., Abas, P.E., Petra, M.I., Sivan, D., Satheesh Kumar, K., Jose, R., and Mathew, S. (2025). Application of artificial …[truncated]</w:t>
            </w:r>
          </w:p>
        </w:tc>
      </w:tr>
      <w:tr>
        <w:tc>
          <w:tcPr>
            <w:tcW w:type="dxa" w:w="576"/>
            <w:shd w:val="clear" w:color="auto" w:fill="FBE5D6"/>
            <w:vAlign w:val="top"/>
          </w:tcPr>
          <w:p>
            <w:r>
              <w:rPr>
                <w:sz w:val="16"/>
              </w:rPr>
              <w:t>62</w:t>
            </w:r>
          </w:p>
        </w:tc>
        <w:tc>
          <w:tcPr>
            <w:tcW w:type="dxa" w:w="2880"/>
            <w:shd w:val="clear" w:color="auto" w:fill="FBE5D6"/>
            <w:vAlign w:val="top"/>
          </w:tcPr>
          <w:p>
            <w:r>
              <w:rPr>
                <w:b/>
                <w:sz w:val="16"/>
              </w:rPr>
              <w:t xml:space="preserve">[DELETED] </w:t>
            </w:r>
            <w:r>
              <w:rPr>
                <w:sz w:val="16"/>
              </w:rPr>
              <w:t>Highlights</w:t>
            </w:r>
          </w:p>
        </w:tc>
        <w:tc>
          <w:tcPr>
            <w:tcW w:type="dxa" w:w="5760"/>
            <w:shd w:val="clear" w:color="auto" w:fill="FBE5D6"/>
            <w:vAlign w:val="top"/>
          </w:tcPr>
          <w:p>
            <w:r>
              <w:rPr>
                <w:sz w:val="16"/>
              </w:rPr>
              <w:t>We define the jurisdiction compliance gap between international engineering codes and national safety regulations. A KOSHA-grounded regulatory RAG layer identifies Korean-jurisdiction obligations missed by code-only calculations. Cross-discipline validation blocks 25 additional hazard scenarios in 60 test cases beyond single-domain checks. A four-layer verification model shows implementation-correct performance across 220 synthetic golden cases in seven disciplines. Concept-aware synonym expansion improves Recall@1 from 0.44 to 0.74 and MRR@10 from 0.57 to 0.79 on a curated Korean regulatory benchmark.</w:t>
            </w:r>
          </w:p>
        </w:tc>
        <w:tc>
          <w:tcPr>
            <w:tcW w:type="dxa" w:w="5760"/>
            <w:shd w:val="clear" w:color="auto" w:fill="FBE5D6"/>
            <w:vAlign w:val="top"/>
          </w:tcPr>
          <w:p>
            <w:r>
              <w:rPr>
                <w:sz w:val="16"/>
              </w:rPr>
              <w:t>— (removed in revision; content typically folded into another section)</w:t>
            </w:r>
          </w:p>
        </w:tc>
      </w:tr>
      <w:tr>
        <w:tc>
          <w:tcPr>
            <w:tcW w:type="dxa" w:w="576"/>
            <w:shd w:val="clear" w:color="auto" w:fill="FBE5D6"/>
            <w:vAlign w:val="top"/>
          </w:tcPr>
          <w:p>
            <w:r>
              <w:rPr>
                <w:sz w:val="16"/>
              </w:rPr>
              <w:t>63</w:t>
            </w:r>
          </w:p>
        </w:tc>
        <w:tc>
          <w:tcPr>
            <w:tcW w:type="dxa" w:w="2880"/>
            <w:shd w:val="clear" w:color="auto" w:fill="FBE5D6"/>
            <w:vAlign w:val="top"/>
          </w:tcPr>
          <w:p>
            <w:r>
              <w:rPr>
                <w:b/>
                <w:sz w:val="16"/>
              </w:rPr>
              <w:t xml:space="preserve">[DELETED] </w:t>
            </w:r>
            <w:r>
              <w:rPr>
                <w:sz w:val="16"/>
              </w:rPr>
              <w:t>1.1 Motivation: when code compliance is not enough</w:t>
            </w:r>
          </w:p>
        </w:tc>
        <w:tc>
          <w:tcPr>
            <w:tcW w:type="dxa" w:w="5760"/>
            <w:shd w:val="clear" w:color="auto" w:fill="FBE5D6"/>
            <w:vAlign w:val="top"/>
          </w:tcPr>
          <w:p>
            <w:r>
              <w:rPr>
                <w:sz w:val="16"/>
              </w:rPr>
              <w:t>A pressure vessel that satisfies every ASME Section VIII requirement may still violate Korean law. An API 570-compliant piping inspection program may omit mandatory review triggers defined by the Korea Occupational Safety and Health Agency (KOSHA). This is not a hypothetical risk: we hypothesise that this is a structural property of how international engineering codes and national safety regulations interact. International codes such as ASME, API, IEEE, and IEC define the technical basis for engineering calculations—minimum wall thickness, allowable stress, arc-flash energy, safety integrity level. These calculations are necessary for safe design and operation. However, they are not sufficient for legal compliance in jurisdictions that layer additional safety regulations on top of international codes. In Korea, the Occupational Safety and Health Act and its implementing regulations—including KOSHA technical guidelines and the Rules on Occupational Safety and Health Standards—impose procedural, documentation, and compliance obligations that are conditioned on calculation outputs but encoded outside the international standards. We call this structural mismatch a jurisdiction …[truncated]</w:t>
            </w:r>
          </w:p>
        </w:tc>
        <w:tc>
          <w:tcPr>
            <w:tcW w:type="dxa" w:w="5760"/>
            <w:shd w:val="clear" w:color="auto" w:fill="FBE5D6"/>
            <w:vAlign w:val="top"/>
          </w:tcPr>
          <w:p>
            <w:r>
              <w:rPr>
                <w:sz w:val="16"/>
              </w:rPr>
              <w:t>— (removed in revision; content typically folded into another section)</w:t>
            </w:r>
          </w:p>
        </w:tc>
      </w:tr>
      <w:tr>
        <w:tc>
          <w:tcPr>
            <w:tcW w:type="dxa" w:w="576"/>
            <w:shd w:val="clear" w:color="auto" w:fill="FBE5D6"/>
            <w:vAlign w:val="top"/>
          </w:tcPr>
          <w:p>
            <w:r>
              <w:rPr>
                <w:sz w:val="16"/>
              </w:rPr>
              <w:t>64</w:t>
            </w:r>
          </w:p>
        </w:tc>
        <w:tc>
          <w:tcPr>
            <w:tcW w:type="dxa" w:w="2880"/>
            <w:shd w:val="clear" w:color="auto" w:fill="FBE5D6"/>
            <w:vAlign w:val="top"/>
          </w:tcPr>
          <w:p>
            <w:r>
              <w:rPr>
                <w:b/>
                <w:sz w:val="16"/>
              </w:rPr>
              <w:t xml:space="preserve">[DELETED] </w:t>
            </w:r>
            <w:r>
              <w:rPr>
                <w:sz w:val="16"/>
              </w:rPr>
              <w:t>1.3 Paper organisation</w:t>
            </w:r>
          </w:p>
        </w:tc>
        <w:tc>
          <w:tcPr>
            <w:tcW w:type="dxa" w:w="5760"/>
            <w:shd w:val="clear" w:color="auto" w:fill="FBE5D6"/>
            <w:vAlign w:val="top"/>
          </w:tcPr>
          <w:p>
            <w:r>
              <w:rPr>
                <w:sz w:val="16"/>
              </w:rPr>
              <w:t>Section 2 positions this work against related literature. Section 3 defines the jurisdiction compliance gap formally. Section 4 describes system architecture. Section 5 details the KOSHA RAG layer. Section 6 presents the verification model. Section 7 reports experiments. Section 8 discusses findings. Section 9 addresses limitations. Section 10 concludes.</w:t>
            </w:r>
          </w:p>
        </w:tc>
        <w:tc>
          <w:tcPr>
            <w:tcW w:type="dxa" w:w="5760"/>
            <w:shd w:val="clear" w:color="auto" w:fill="FBE5D6"/>
            <w:vAlign w:val="top"/>
          </w:tcPr>
          <w:p>
            <w:r>
              <w:rPr>
                <w:sz w:val="16"/>
              </w:rPr>
              <w:t>— (removed in revision; content typically folded into another section)</w:t>
            </w:r>
          </w:p>
        </w:tc>
      </w:tr>
      <w:tr>
        <w:tc>
          <w:tcPr>
            <w:tcW w:type="dxa" w:w="576"/>
            <w:shd w:val="clear" w:color="auto" w:fill="FBE5D6"/>
            <w:vAlign w:val="top"/>
          </w:tcPr>
          <w:p>
            <w:r>
              <w:rPr>
                <w:sz w:val="16"/>
              </w:rPr>
              <w:t>65</w:t>
            </w:r>
          </w:p>
        </w:tc>
        <w:tc>
          <w:tcPr>
            <w:tcW w:type="dxa" w:w="2880"/>
            <w:shd w:val="clear" w:color="auto" w:fill="FBE5D6"/>
            <w:vAlign w:val="top"/>
          </w:tcPr>
          <w:p>
            <w:r>
              <w:rPr>
                <w:b/>
                <w:sz w:val="16"/>
              </w:rPr>
              <w:t xml:space="preserve">[DELETED] </w:t>
            </w:r>
            <w:r>
              <w:rPr>
                <w:sz w:val="16"/>
              </w:rPr>
              <w:t>3.2 Structural origin</w:t>
            </w:r>
          </w:p>
        </w:tc>
        <w:tc>
          <w:tcPr>
            <w:tcW w:type="dxa" w:w="5760"/>
            <w:shd w:val="clear" w:color="auto" w:fill="FBE5D6"/>
            <w:vAlign w:val="top"/>
          </w:tcPr>
          <w:p>
            <w:r>
              <w:rPr>
                <w:sz w:val="16"/>
              </w:rPr>
              <w:t>International engineering codes define what to calculate and what thresholds to apply. National safety regulations define what to do about the results—documentation requirements, mandatory review triggers, additional control measures. These two regulatory layers address different questions: The gap arises because calculation tools implement only the first layer. The second layer requires access to jurisdiction-specific regulatory knowledge that is external to the calculation engine.</w:t>
            </w:r>
          </w:p>
        </w:tc>
        <w:tc>
          <w:tcPr>
            <w:tcW w:type="dxa" w:w="5760"/>
            <w:shd w:val="clear" w:color="auto" w:fill="FBE5D6"/>
            <w:vAlign w:val="top"/>
          </w:tcPr>
          <w:p>
            <w:r>
              <w:rPr>
                <w:sz w:val="16"/>
              </w:rPr>
              <w:t>— (removed in revision; content typically folded into another section)</w:t>
            </w:r>
          </w:p>
        </w:tc>
      </w:tr>
      <w:tr>
        <w:tc>
          <w:tcPr>
            <w:tcW w:type="dxa" w:w="576"/>
            <w:shd w:val="clear" w:color="auto" w:fill="FBE5D6"/>
            <w:vAlign w:val="top"/>
          </w:tcPr>
          <w:p>
            <w:r>
              <w:rPr>
                <w:sz w:val="16"/>
              </w:rPr>
              <w:t>66</w:t>
            </w:r>
          </w:p>
        </w:tc>
        <w:tc>
          <w:tcPr>
            <w:tcW w:type="dxa" w:w="2880"/>
            <w:shd w:val="clear" w:color="auto" w:fill="FBE5D6"/>
            <w:vAlign w:val="top"/>
          </w:tcPr>
          <w:p>
            <w:r>
              <w:rPr>
                <w:b/>
                <w:sz w:val="16"/>
              </w:rPr>
              <w:t xml:space="preserve">[DELETED] </w:t>
            </w:r>
            <w:r>
              <w:rPr>
                <w:sz w:val="16"/>
              </w:rPr>
              <w:t>4.1 Overview</w:t>
            </w:r>
          </w:p>
        </w:tc>
        <w:tc>
          <w:tcPr>
            <w:tcW w:type="dxa" w:w="5760"/>
            <w:shd w:val="clear" w:color="auto" w:fill="FBE5D6"/>
            <w:vAlign w:val="top"/>
          </w:tcPr>
          <w:p>
            <w:r>
              <w:rPr>
                <w:sz w:val="16"/>
              </w:rPr>
              <w:t>The system comprises an orchestrator, seven domain calculation services, a cross-discipline validator, a KOSHA RAG layer, and an API layer. User requests from any lifecycle phase—design, construction, or in-service inspection—are classified and routed by the orchestrator. Each domain service executes standards-based calculations through the four-layer verification model. Cross-discipline coupling is checked across ten domain pairs. The KOSHA RAG layer provides regulatory grounding. The output integrates calculation numerics, verification status, regulatory citations, and audit trail.</w:t>
            </w:r>
          </w:p>
        </w:tc>
        <w:tc>
          <w:tcPr>
            <w:tcW w:type="dxa" w:w="5760"/>
            <w:shd w:val="clear" w:color="auto" w:fill="FBE5D6"/>
            <w:vAlign w:val="top"/>
          </w:tcPr>
          <w:p>
            <w:r>
              <w:rPr>
                <w:sz w:val="16"/>
              </w:rPr>
              <w:t>— (removed in revision; content typically folded into another section)</w:t>
            </w:r>
          </w:p>
        </w:tc>
      </w:tr>
      <w:tr>
        <w:tc>
          <w:tcPr>
            <w:tcW w:type="dxa" w:w="576"/>
            <w:shd w:val="clear" w:color="auto" w:fill="FBE5D6"/>
            <w:vAlign w:val="top"/>
          </w:tcPr>
          <w:p>
            <w:r>
              <w:rPr>
                <w:sz w:val="16"/>
              </w:rPr>
              <w:t>67</w:t>
            </w:r>
          </w:p>
        </w:tc>
        <w:tc>
          <w:tcPr>
            <w:tcW w:type="dxa" w:w="2880"/>
            <w:shd w:val="clear" w:color="auto" w:fill="FBE5D6"/>
            <w:vAlign w:val="top"/>
          </w:tcPr>
          <w:p>
            <w:r>
              <w:rPr>
                <w:b/>
                <w:sz w:val="16"/>
              </w:rPr>
              <w:t xml:space="preserve">[DELETED] </w:t>
            </w:r>
            <w:r>
              <w:rPr>
                <w:sz w:val="16"/>
              </w:rPr>
              <w:t>4.3 Technology constraints</w:t>
            </w:r>
          </w:p>
        </w:tc>
        <w:tc>
          <w:tcPr>
            <w:tcW w:type="dxa" w:w="5760"/>
            <w:shd w:val="clear" w:color="auto" w:fill="FBE5D6"/>
            <w:vAlign w:val="top"/>
          </w:tcPr>
          <w:p>
            <w:r>
              <w:rPr>
                <w:sz w:val="16"/>
              </w:rPr>
              <w:t>All inference runs on-premises using Ollama with Qwen 2.5 7B Instruct (4-bit quantisation, 32,768-token context). No external data transmission occurs. The RAG index uses SQLite FTS5. This design satisfies industrial data-sovereignty requirements.</w:t>
            </w:r>
          </w:p>
        </w:tc>
        <w:tc>
          <w:tcPr>
            <w:tcW w:type="dxa" w:w="5760"/>
            <w:shd w:val="clear" w:color="auto" w:fill="FBE5D6"/>
            <w:vAlign w:val="top"/>
          </w:tcPr>
          <w:p>
            <w:r>
              <w:rPr>
                <w:sz w:val="16"/>
              </w:rPr>
              <w:t>— (removed in revision; content typically folded into another section)</w:t>
            </w:r>
          </w:p>
        </w:tc>
      </w:tr>
      <w:tr>
        <w:tc>
          <w:tcPr>
            <w:tcW w:type="dxa" w:w="576"/>
            <w:shd w:val="clear" w:color="auto" w:fill="FBE5D6"/>
            <w:vAlign w:val="top"/>
          </w:tcPr>
          <w:p>
            <w:r>
              <w:rPr>
                <w:sz w:val="16"/>
              </w:rPr>
              <w:t>68</w:t>
            </w:r>
          </w:p>
        </w:tc>
        <w:tc>
          <w:tcPr>
            <w:tcW w:type="dxa" w:w="2880"/>
            <w:shd w:val="clear" w:color="auto" w:fill="FBE5D6"/>
            <w:vAlign w:val="top"/>
          </w:tcPr>
          <w:p>
            <w:r>
              <w:rPr>
                <w:b/>
                <w:sz w:val="16"/>
              </w:rPr>
              <w:t xml:space="preserve">[DELETED] </w:t>
            </w:r>
            <w:r>
              <w:rPr>
                <w:sz w:val="16"/>
              </w:rPr>
              <w:t>6.2 Layer 2 — K-voting consensus</w:t>
            </w:r>
          </w:p>
        </w:tc>
        <w:tc>
          <w:tcPr>
            <w:tcW w:type="dxa" w:w="5760"/>
            <w:shd w:val="clear" w:color="auto" w:fill="FBE5D6"/>
            <w:vAlign w:val="top"/>
          </w:tcPr>
          <w:p>
            <w:r>
              <w:rPr>
                <w:sz w:val="16"/>
              </w:rPr>
              <w:t>Three calculation paths execute in parallel, each using deliberately varied numerical strategies: - Path A: standard rounding order and linear interpolation. - Path B: reversed rounding order and cubic interpolation. - Path C: extended intermediate precision (double the significant figures). The consensus criterion is defined as: Relative Deviation = |Output_i − Output_mean| / Output_mean × 100% The maximum relative deviation among the three outputs must not exceed 1%. This threshold was selected based on three considerations: (i) engineering calculation workflows are generally tolerant of small intermediate numerical deviations (on the order of 1%) when final pass/fail outcomes remain unchanged; (ii) sensitivity analysis across the 220 golden cases confirmed that deviations below 1% never altered the regulatory status (pass/fail/warning) of any case, whereas deviations above 1% would flip the status in 3.2% of boundary cases; and (iii) the threshold was empirically validated through the 50-round optimisation procedure, which confirmed that 1% provides the best trade-off between false-consensus avoidance and unnecessary tiebreaker invocations. Detailed threshold sensitivity …[truncated]</w:t>
            </w:r>
          </w:p>
        </w:tc>
        <w:tc>
          <w:tcPr>
            <w:tcW w:type="dxa" w:w="5760"/>
            <w:shd w:val="clear" w:color="auto" w:fill="FBE5D6"/>
            <w:vAlign w:val="top"/>
          </w:tcPr>
          <w:p>
            <w:r>
              <w:rPr>
                <w:sz w:val="16"/>
              </w:rPr>
              <w:t>— (removed in revision; content typically folded into another section)</w:t>
            </w:r>
          </w:p>
        </w:tc>
      </w:tr>
      <w:tr>
        <w:tc>
          <w:tcPr>
            <w:tcW w:type="dxa" w:w="576"/>
            <w:shd w:val="clear" w:color="auto" w:fill="FBE5D6"/>
            <w:vAlign w:val="top"/>
          </w:tcPr>
          <w:p>
            <w:r>
              <w:rPr>
                <w:sz w:val="16"/>
              </w:rPr>
              <w:t>69</w:t>
            </w:r>
          </w:p>
        </w:tc>
        <w:tc>
          <w:tcPr>
            <w:tcW w:type="dxa" w:w="2880"/>
            <w:shd w:val="clear" w:color="auto" w:fill="FBE5D6"/>
            <w:vAlign w:val="top"/>
          </w:tcPr>
          <w:p>
            <w:r>
              <w:rPr>
                <w:b/>
                <w:sz w:val="16"/>
              </w:rPr>
              <w:t xml:space="preserve">[DELETED] </w:t>
            </w:r>
            <w:r>
              <w:rPr>
                <w:sz w:val="16"/>
              </w:rPr>
              <w:t>8.1 Practical significance of jurisdiction compliance gaps</w:t>
            </w:r>
          </w:p>
        </w:tc>
        <w:tc>
          <w:tcPr>
            <w:tcW w:type="dxa" w:w="5760"/>
            <w:shd w:val="clear" w:color="auto" w:fill="FBE5D6"/>
            <w:vAlign w:val="top"/>
          </w:tcPr>
          <w:p>
            <w:r>
              <w:rPr>
                <w:sz w:val="16"/>
              </w:rPr>
              <w:t>The jurisdiction compliance gap has direct consequences across the plant lifecycle: Design phase: Calculation packages satisfying ASME/API deliverables may miss KOSHA documentation obligations, creating audit risk. Construction phase: Commissioning based solely on international codes may skip Korean regulatory steps. Operation phase: Inspection programs following API 510/570 may not satisfy KOSHA-mandated review triggers. The cost of detecting these gaps at the calculation stage is negligible (a RAG query). The cost of detecting them at regulatory audit—or after an incident—can be severe.</w:t>
            </w:r>
          </w:p>
        </w:tc>
        <w:tc>
          <w:tcPr>
            <w:tcW w:type="dxa" w:w="5760"/>
            <w:shd w:val="clear" w:color="auto" w:fill="FBE5D6"/>
            <w:vAlign w:val="top"/>
          </w:tcPr>
          <w:p>
            <w:r>
              <w:rPr>
                <w:sz w:val="16"/>
              </w:rPr>
              <w:t>— (removed in revision; content typically folded into another section)</w:t>
            </w:r>
          </w:p>
        </w:tc>
      </w:tr>
      <w:tr>
        <w:tc>
          <w:tcPr>
            <w:tcW w:type="dxa" w:w="576"/>
            <w:shd w:val="clear" w:color="auto" w:fill="FBE5D6"/>
            <w:vAlign w:val="top"/>
          </w:tcPr>
          <w:p>
            <w:r>
              <w:rPr>
                <w:sz w:val="16"/>
              </w:rPr>
              <w:t>70</w:t>
            </w:r>
          </w:p>
        </w:tc>
        <w:tc>
          <w:tcPr>
            <w:tcW w:type="dxa" w:w="2880"/>
            <w:shd w:val="clear" w:color="auto" w:fill="FBE5D6"/>
            <w:vAlign w:val="top"/>
          </w:tcPr>
          <w:p>
            <w:r>
              <w:rPr>
                <w:b/>
                <w:sz w:val="16"/>
              </w:rPr>
              <w:t xml:space="preserve">[DELETED] </w:t>
            </w:r>
            <w:r>
              <w:rPr>
                <w:sz w:val="16"/>
              </w:rPr>
              <w:t>8.2 K-voting consensus as a verification strategy</w:t>
            </w:r>
          </w:p>
        </w:tc>
        <w:tc>
          <w:tcPr>
            <w:tcW w:type="dxa" w:w="5760"/>
            <w:shd w:val="clear" w:color="auto" w:fill="FBE5D6"/>
            <w:vAlign w:val="top"/>
          </w:tcPr>
          <w:p>
            <w:r>
              <w:rPr>
                <w:sz w:val="16"/>
              </w:rPr>
              <w:t>The K-voting layer serves a different purpose than traditional software testing. It detects the class of bugs where a single implementation appears correct but produces numerically inconsistent results due to rounding, interpolation, or precision choices. In engineering calculations where small differences can cross regulatory thresholds, this class of error is practically significant.</w:t>
            </w:r>
          </w:p>
        </w:tc>
        <w:tc>
          <w:tcPr>
            <w:tcW w:type="dxa" w:w="5760"/>
            <w:shd w:val="clear" w:color="auto" w:fill="FBE5D6"/>
            <w:vAlign w:val="top"/>
          </w:tcPr>
          <w:p>
            <w:r>
              <w:rPr>
                <w:sz w:val="16"/>
              </w:rPr>
              <w:t>— (removed in revision; content typically folded into another section)</w:t>
            </w:r>
          </w:p>
        </w:tc>
      </w:tr>
      <w:tr>
        <w:tc>
          <w:tcPr>
            <w:tcW w:type="dxa" w:w="576"/>
            <w:shd w:val="clear" w:color="auto" w:fill="FBE5D6"/>
            <w:vAlign w:val="top"/>
          </w:tcPr>
          <w:p>
            <w:r>
              <w:rPr>
                <w:sz w:val="16"/>
              </w:rPr>
              <w:t>71</w:t>
            </w:r>
          </w:p>
        </w:tc>
        <w:tc>
          <w:tcPr>
            <w:tcW w:type="dxa" w:w="2880"/>
            <w:shd w:val="clear" w:color="auto" w:fill="FBE5D6"/>
            <w:vAlign w:val="top"/>
          </w:tcPr>
          <w:p>
            <w:r>
              <w:rPr>
                <w:b/>
                <w:sz w:val="16"/>
              </w:rPr>
              <w:t xml:space="preserve">[DELETED] </w:t>
            </w:r>
            <w:r>
              <w:rPr>
                <w:sz w:val="16"/>
              </w:rPr>
              <w:t>8.4 Comparison with conventional workflows</w:t>
            </w:r>
          </w:p>
        </w:tc>
        <w:tc>
          <w:tcPr>
            <w:tcW w:type="dxa" w:w="5760"/>
            <w:shd w:val="clear" w:color="auto" w:fill="FBE5D6"/>
            <w:vAlign w:val="top"/>
          </w:tcPr>
          <w:p>
            <w:r>
              <w:rPr>
                <w:sz w:val="16"/>
              </w:rPr>
              <w:t>It is important to acknowledge that the baselines in this study are internal ablations (validator on/off, plain vs enhanced FTS) rather than comparisons against external industrial tools or manual review processes. In conventional Korean EPC practice, KOSHA compliance is typically checked through a manual regulatory checklist maintained by the plant owner’s PSM team, applied after engineering calculations are complete and often after project handover. The proposed system differs in that it integrates regulatory screening into the calculation stage itself. However, a formal comparison — for instance, measuring detection rates of a manual KOSHA checklist review vs the automated RAG layer on the same case set — has not been performed and would require practitioner participation. Such a comparison is a priority for future field pilot studies and would substantially strengthen the evidence base.</w:t>
            </w:r>
          </w:p>
        </w:tc>
        <w:tc>
          <w:tcPr>
            <w:tcW w:type="dxa" w:w="5760"/>
            <w:shd w:val="clear" w:color="auto" w:fill="FBE5D6"/>
            <w:vAlign w:val="top"/>
          </w:tcPr>
          <w:p>
            <w:r>
              <w:rPr>
                <w:sz w:val="16"/>
              </w:rPr>
              <w:t>— (removed in revision; content typically folded into another section)</w:t>
            </w:r>
          </w:p>
        </w:tc>
      </w:tr>
      <w:tr>
        <w:tc>
          <w:tcPr>
            <w:tcW w:type="dxa" w:w="576"/>
            <w:shd w:val="clear" w:color="auto" w:fill="FBE5D6"/>
            <w:vAlign w:val="top"/>
          </w:tcPr>
          <w:p>
            <w:r>
              <w:rPr>
                <w:sz w:val="16"/>
              </w:rPr>
              <w:t>72</w:t>
            </w:r>
          </w:p>
        </w:tc>
        <w:tc>
          <w:tcPr>
            <w:tcW w:type="dxa" w:w="2880"/>
            <w:shd w:val="clear" w:color="auto" w:fill="FBE5D6"/>
            <w:vAlign w:val="top"/>
          </w:tcPr>
          <w:p>
            <w:r>
              <w:rPr>
                <w:b/>
                <w:sz w:val="16"/>
              </w:rPr>
              <w:t xml:space="preserve">[DELETED] </w:t>
            </w:r>
            <w:r>
              <w:rPr>
                <w:sz w:val="16"/>
              </w:rPr>
              <w:t>8.5 Limitations of the evaluation</w:t>
            </w:r>
          </w:p>
        </w:tc>
        <w:tc>
          <w:tcPr>
            <w:tcW w:type="dxa" w:w="5760"/>
            <w:shd w:val="clear" w:color="auto" w:fill="FBE5D6"/>
            <w:vAlign w:val="top"/>
          </w:tcPr>
          <w:p>
            <w:r>
              <w:rPr>
                <w:sz w:val="16"/>
              </w:rPr>
              <w:t>The golden dataset is entirely synthetic. The retrieval benchmark is curated. The three case studies are illustrative rather than exhaustive. These limitations are inherent to a first-generation proof-of-feasibility system paper and are addressed in Section 9.</w:t>
            </w:r>
          </w:p>
        </w:tc>
        <w:tc>
          <w:tcPr>
            <w:tcW w:type="dxa" w:w="5760"/>
            <w:shd w:val="clear" w:color="auto" w:fill="FBE5D6"/>
            <w:vAlign w:val="top"/>
          </w:tcPr>
          <w:p>
            <w:r>
              <w:rPr>
                <w:sz w:val="16"/>
              </w:rPr>
              <w:t>— (removed in revision; content typically folded into another section)</w:t>
            </w:r>
          </w:p>
        </w:tc>
      </w:tr>
    </w:tbl>
    <w:sectPr w:rsidR="00FC693F" w:rsidRPr="0006063C" w:rsidSect="00034616">
      <w:pgSz w:w="15840" w:h="12240" w:orient="landscape"/>
      <w:pgMar w:top="850" w:right="680" w:bottom="85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