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2.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2db9d99a5ba7d4a6ed195b593e01dda56b732f"/>
    <w:p>
      <w:pPr>
        <w:pStyle w:val="Heading1"/>
      </w:pPr>
      <w:r>
        <w:t xml:space="preserve">Detecting Jurisdiction Compliance Gaps in Process Plant Engineering with Regulatory RAG</w:t>
      </w:r>
    </w:p>
    <w:p>
      <w:pPr>
        <w:pStyle w:val="FirstParagraph"/>
      </w:pPr>
      <w:r>
        <w:rPr>
          <w:b/>
          <w:bCs/>
        </w:rPr>
        <w:t xml:space="preserve">Yuyong Kim</w:t>
      </w:r>
      <w:r>
        <w:t xml:space="preserve"> </w:t>
      </w:r>
      <w:r>
        <w:rPr>
          <w:i/>
          <w:iCs/>
        </w:rPr>
        <w:t xml:space="preserve">University of Wisconsin–Madison</w:t>
      </w:r>
      <w:r>
        <w:t xml:space="preserve"> </w:t>
      </w:r>
      <w:r>
        <w:t xml:space="preserve">ykim288@wisc.edu</w:t>
      </w:r>
    </w:p>
    <w:p>
      <w:pPr>
        <w:pStyle w:val="BodyText"/>
      </w:pPr>
      <w:r>
        <w:t xml:space="preserve">Manuscript number: JLP-D-26-00414 (revised)</w:t>
      </w:r>
    </w:p>
    <w:p>
      <w:r>
        <w:pict>
          <v:rect style="width:0;height:1.5pt" o:hralign="center" o:hrstd="t" o:hr="t"/>
        </w:pict>
      </w:r>
    </w:p>
    <w:bookmarkStart w:id="9"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BodyText"/>
      </w:pPr>
      <w:r>
        <w:rPr>
          <w:b/>
          <w:bCs/>
        </w:rPr>
        <w:t xml:space="preserve">Scope statement.</w:t>
      </w:r>
      <w:r>
        <w:t xml:space="preserve"> </w:t>
      </w:r>
      <w:r>
        <w:t xml:space="preserve">The architecture described in §3 spans seven engineering disciplines and four verification layers; this is the</w:t>
      </w:r>
      <w:r>
        <w:t xml:space="preserve"> </w:t>
      </w:r>
      <w:r>
        <w:rPr>
          <w:b/>
          <w:bCs/>
        </w:rPr>
        <w:t xml:space="preserve">framework scope</w:t>
      </w:r>
      <w:r>
        <w:t xml:space="preserve">. The empirical evidence presented in §6 covers a subset — the</w:t>
      </w:r>
      <w:r>
        <w:t xml:space="preserve"> </w:t>
      </w:r>
      <w:r>
        <w:rPr>
          <w:b/>
          <w:bCs/>
        </w:rPr>
        <w:t xml:space="preserve">validated scope</w:t>
      </w:r>
      <w:r>
        <w:t xml:space="preserve"> </w:t>
      </w:r>
      <w: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4"/>
    <w:bookmarkStart w:id="15"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5"/>
    <w:bookmarkStart w:id="16"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6"/>
    <w:bookmarkStart w:id="17"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7"/>
    <w:bookmarkStart w:id="18"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8"/>
    <w:bookmarkStart w:id="19"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5"/>
    <w:bookmarkStart w:id="26"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6"/>
    <w:bookmarkStart w:id="27"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7"/>
    <w:bookmarkStart w:id="28"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0"/>
    <w:bookmarkStart w:id="31"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1"/>
    <w:bookmarkStart w:id="35"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5"/>
    <w:bookmarkStart w:id="36"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5% reporting no-consensus rate, false-consensus rate, and boundary-flip count) is left to future work.</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8"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p>
      <w:pPr>
        <w:pStyle w:val="BodyText"/>
      </w:pPr>
      <w:r>
        <w:rPr>
          <w:b/>
          <w:bCs/>
        </w:rPr>
        <w:t xml:space="preserve">Benchmark construction independence — known limitation.</w:t>
      </w:r>
      <w:r>
        <w:t xml:space="preserve"> </w:t>
      </w:r>
      <w: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8"/>
    <w:bookmarkStart w:id="39"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t xml:space="preserve"> </w:t>
      </w:r>
      <w:r>
        <w:rPr>
          <w:rStyle w:val="VerbatimChar"/>
        </w:rPr>
        <w:t xml:space="preserve">outputs/seven_pipeline_report.md</w:t>
      </w:r>
      <w:r>
        <w:t xml:space="preserve">, generated by</w:t>
      </w:r>
      <w:r>
        <w:t xml:space="preserve"> </w:t>
      </w:r>
      <w:r>
        <w:rPr>
          <w:rStyle w:val="VerbatimChar"/>
        </w:rPr>
        <w:t xml:space="preserve">scripts/benchmark_seven_pipeline.py</w:t>
      </w:r>
      <w:r>
        <w:t xml:space="preserve"> </w:t>
      </w:r>
      <w:r>
        <w:t xml:space="preserve">over the seven</w:t>
      </w:r>
      <w:r>
        <w:t xml:space="preserve"> </w:t>
      </w:r>
      <w:r>
        <w:rPr>
          <w:rStyle w:val="VerbatimChar"/>
        </w:rPr>
        <w:t xml:space="preserve">datasets/golden_standards/*_golden_dataset_v1.json</w:t>
      </w:r>
      <w:r>
        <w:t xml:space="preserve"> </w:t>
      </w:r>
      <w:r>
        <w:t xml:space="preserve">files; this 43-scenario set measures end-to-end pipeline behaviour and is</w:t>
      </w:r>
      <w:r>
        <w:t xml:space="preserve"> </w:t>
      </w:r>
      <w:r>
        <w:rPr>
          <w:b/>
          <w:bCs/>
        </w:rPr>
        <w:t xml:space="preserve">distinct from</w:t>
      </w:r>
      <w:r>
        <w:t xml:space="preserve"> </w:t>
      </w:r>
      <w:r>
        <w:t xml:space="preserve">the 60-scenario cross-discipline ablation set of §6.3, which is constructed by</w:t>
      </w:r>
      <w:r>
        <w:t xml:space="preserve"> </w:t>
      </w:r>
      <w:r>
        <w:rPr>
          <w:rStyle w:val="VerbatimChar"/>
        </w:rPr>
        <w:t xml:space="preserve">scripts/benchmark_cross_discipline_ablation.py</w:t>
      </w:r>
      <w:r>
        <w:t xml:space="preserve"> </w:t>
      </w:r>
      <w:r>
        <w:t xml:space="preserve">via the</w:t>
      </w:r>
      <w:r>
        <w:t xml:space="preserve"> </w:t>
      </w:r>
      <w:r>
        <w:rPr>
          <w:rStyle w:val="VerbatimChar"/>
        </w:rPr>
        <w:t xml:space="preserve">aligned_*</w:t>
      </w:r>
      <w:r>
        <w:t xml:space="preserve"> </w:t>
      </w:r>
      <w:r>
        <w:t xml:space="preserve">and</w:t>
      </w:r>
      <w:r>
        <w:t xml:space="preserve"> </w:t>
      </w:r>
      <w:r>
        <w:rPr>
          <w:rStyle w:val="VerbatimChar"/>
        </w:rPr>
        <w:t xml:space="preserve">mixed_*</w:t>
      </w:r>
      <w:r>
        <w:t xml:space="preserve"> </w:t>
      </w:r>
      <w:r>
        <w:t xml:space="preserve">index builders against the same underlying golden datasets.)</w:t>
      </w:r>
    </w:p>
    <w:bookmarkEnd w:id="39"/>
    <w:bookmarkStart w:id="43"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3"/>
    <w:bookmarkStart w:id="47"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4"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4"/>
    <w:bookmarkStart w:id="45"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5"/>
    <w:bookmarkStart w:id="46"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1"/>
    <w:bookmarkStart w:id="53" w:name="X945ebd9b2e343d6b9f880fd96f78b4c10113984"/>
    <w:p>
      <w:pPr>
        <w:pStyle w:val="Heading3"/>
      </w:pPr>
      <w:r>
        <w:t xml:space="preserve">6.6 Industry-Baseline Comparison and Internal Ablation</w:t>
      </w:r>
    </w:p>
    <w:p>
      <w:pPr>
        <w:pStyle w:val="FirstParagraph"/>
      </w:pPr>
      <w:r>
        <w:t xml:space="preserve">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The industry baseline is not a human-expert comparison.</w:t>
      </w:r>
      <w:r>
        <w:t xml:space="preserve"> </w:t>
      </w:r>
      <w:r>
        <w:t xml:space="preserve">The</w:t>
      </w:r>
      <w:r>
        <w:t xml:space="preserve"> </w:t>
      </w:r>
      <w:r>
        <w:t xml:space="preserve">“ASME/API pass = compliance complete”</w:t>
      </w:r>
      <w:r>
        <w:t xml:space="preserve"> </w:t>
      </w:r>
      <w:r>
        <w:t xml:space="preserve">rule used in Table 7 is the prevailing decision rule in current EPC practice, not a benchmark against process engineers performing the same review. A prospective comparison against an independent panel of KOSHA PSM auditors or process engineers — for example, a blind review of system-flagged compliance gaps and inter-rater agreement with the human panel — is documented as future work in §8 Limitation 7 and is required before any claim of inter-rater reliability with human experts can be made.</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2" w:name="real-plant-pipeline-execution-evidence"/>
    <w:p>
      <w:pPr>
        <w:pStyle w:val="Heading4"/>
      </w:pPr>
      <w:r>
        <w:t xml:space="preserve">6.6.3 Real-plant pipeline-execution evidence</w:t>
      </w:r>
    </w:p>
    <w:p>
      <w:pPr>
        <w:pStyle w:val="FirstParagraph"/>
      </w:pPr>
      <w:r>
        <w:rPr>
          <w:b/>
          <w:bCs/>
        </w:rPr>
        <w:t xml:space="preserve">Headline.</w:t>
      </w:r>
      <w:r>
        <w:t xml:space="preserve"> </w:t>
      </w:r>
      <w:r>
        <w:t xml:space="preserve">Running the unmodified pipeline against an anonymised real-plant data sheet (VES-REAL-001) produces a deterministic ASME UG-27 governing thickness of</w:t>
      </w:r>
      <w:r>
        <w:t xml:space="preserve"> </w:t>
      </w:r>
      <w:r>
        <w:rPr>
          <w:b/>
          <w:bCs/>
        </w:rPr>
        <w:t xml:space="preserve">7.237 mm</w:t>
      </w:r>
      <w:r>
        <w:t xml:space="preserve">. A narrower Korean-term retrieval probe additionally surfaces</w:t>
      </w:r>
      <w:r>
        <w:t xml:space="preserve"> </w:t>
      </w:r>
      <w:r>
        <w:rPr>
          <w:b/>
          <w:bCs/>
        </w:rPr>
        <w:t xml:space="preserve">Article 266</w:t>
      </w:r>
      <w:r>
        <w:t xml:space="preserve"> </w:t>
      </w:r>
      <w:r>
        <w:t xml:space="preserve">(a mandatory KOSHA provision concerning flare-path block-valve prohibition) at</w:t>
      </w:r>
      <w:r>
        <w:t xml:space="preserve"> </w:t>
      </w:r>
      <w:r>
        <w:rPr>
          <w:b/>
          <w:bCs/>
        </w:rPr>
        <w:t xml:space="preserve">rank 5</w:t>
      </w:r>
      <w:r>
        <w:t xml:space="preserve">. We treat this as real-plant pipeline-execution evidence, not external accuracy validation.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t xml:space="preserve"> </w:t>
      </w:r>
      <w:r>
        <w:rPr>
          <w:b/>
          <w:bCs/>
        </w:rPr>
        <w:t xml:space="preserve">7.237 mm</w:t>
      </w:r>
      <w:r>
        <w:t xml:space="preserve"> </w:t>
      </w:r>
      <w:r>
        <w:t xml:space="preserve">at the +190 °C side, with the Layer-4 reverse-pressure check closing to within machine epsilon. KOSHA RAG retrieval, executed through the same code path used in §6.5, returns on the spec-faithful Variant A query</w:t>
      </w:r>
      <w:r>
        <w:t xml:space="preserve"> </w:t>
      </w:r>
      <w:r>
        <w:rPr>
          <w:b/>
          <w:bCs/>
        </w:rPr>
        <w:t xml:space="preserve">2 mandatory law-article hits + 8 KOSHA technical guides</w:t>
      </w:r>
      <w:r>
        <w:t xml:space="preserve"> </w:t>
      </w:r>
      <w:r>
        <w:t xml:space="preserve">in the top-10, and on the narrower Variant B Korean-term probe</w:t>
      </w:r>
      <w:r>
        <w:t xml:space="preserve"> </w:t>
      </w:r>
      <w:r>
        <w:rPr>
          <w:b/>
          <w:bCs/>
        </w:rPr>
        <w:t xml:space="preserve">1 mandatory + 9 guidance hits</w:t>
      </w:r>
      <w:r>
        <w:t xml:space="preserve">, with</w:t>
      </w:r>
      <w:r>
        <w:t xml:space="preserve"> </w:t>
      </w:r>
      <w:r>
        <w:rPr>
          <w:b/>
          <w:bCs/>
        </w:rPr>
        <w:t xml:space="preserve">Article 266</w:t>
      </w:r>
      <w:r>
        <w:t xml:space="preserve"> </w:t>
      </w:r>
      <w:r>
        <w:t xml:space="preserve">(block-valve prohibition on flare and relief paths under the</w:t>
      </w:r>
      <w:r>
        <w:t xml:space="preserve"> </w:t>
      </w:r>
      <w:r>
        <w:rPr>
          <w:i/>
          <w:iCs/>
        </w:rPr>
        <w:t xml:space="preserve">Rules on Occupational Safety and Health Standards</w:t>
      </w:r>
      <w:r>
        <w:t xml:space="preserve">) surfacing at</w:t>
      </w:r>
      <w:r>
        <w:t xml:space="preserve"> </w:t>
      </w:r>
      <w:r>
        <w:rPr>
          <w:b/>
          <w:bCs/>
        </w:rPr>
        <w:t xml:space="preserve">rank 5</w:t>
      </w:r>
      <w:r>
        <w:t xml:space="preserve"> </w:t>
      </w:r>
      <w:r>
        <w:t xml:space="preserve">in Variant B. The full evidence — inputs, calculation outputs, retrieval top-10 with BM25 scores and snippets, and the explicit framing as pipeline-execution evidence rather than predictive validation — is reproduced verbatim in Appendix A from</w:t>
      </w:r>
      <w:r>
        <w:t xml:space="preserve"> </w:t>
      </w:r>
      <w:r>
        <w:rPr>
          <w:rStyle w:val="VerbatimChar"/>
        </w:rPr>
        <w:t xml:space="preserve">outputs/real_case_ves001_rag.{json,md}</w:t>
      </w:r>
      <w:r>
        <w:t xml:space="preserve"> </w:t>
      </w:r>
      <w:r>
        <w:t xml:space="preserve">(regenerated by</w:t>
      </w:r>
      <w:r>
        <w:t xml:space="preserve"> </w:t>
      </w:r>
      <w:r>
        <w:rPr>
          <w:rStyle w:val="VerbatimChar"/>
        </w:rPr>
        <w:t xml:space="preserve">scripts/run_real_case_ves001_rag.py</w:t>
      </w:r>
      <w:r>
        <w:t xml:space="preserve">).</w:t>
      </w:r>
    </w:p>
    <w:bookmarkEnd w:id="52"/>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4"/>
    <w:bookmarkEnd w:id="55"/>
    <w:bookmarkStart w:id="62" w:name="discussion"/>
    <w:p>
      <w:pPr>
        <w:pStyle w:val="Heading2"/>
      </w:pPr>
      <w:r>
        <w:t xml:space="preserve">7. Discussion</w:t>
      </w:r>
    </w:p>
    <w:p>
      <w:pPr>
        <w:pStyle w:val="FirstParagraph"/>
      </w:pPr>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0"/>
    <w:bookmarkStart w:id="71"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1"/>
    <w:bookmarkStart w:id="72"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2"/>
    <w:bookmarkStart w:id="73"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3"/>
    <w:bookmarkStart w:id="74"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4"/>
    <w:bookmarkStart w:id="75" w:name="Xc47cf091bc440a5528282ad8b0bfc975696a623"/>
    <w:p>
      <w:pPr>
        <w:pStyle w:val="Heading3"/>
      </w:pPr>
      <w:r>
        <w:t xml:space="preserve">A.6 Synthetic-data framing considerations</w:t>
      </w:r>
    </w:p>
    <w:p>
      <w:pPr>
        <w:pStyle w:val="FirstParagraph"/>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7" w:name="b.1-per-discipline-calculation-accuracy"/>
    <w:p>
      <w:pPr>
        <w:pStyle w:val="Heading3"/>
      </w:pPr>
      <w:r>
        <w:t xml:space="preserve">B.1 Per-discipline calculation accuracy</w:t>
      </w:r>
    </w:p>
    <w:p>
      <w:pPr>
        <w:pStyle w:val="FirstParagraph"/>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7"/>
    <w:bookmarkStart w:id="78"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8"/>
    <w:bookmarkStart w:id="79"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79"/>
    <w:bookmarkStart w:id="80"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0"/>
    <w:bookmarkStart w:id="81"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1"/>
    <w:bookmarkEnd w:id="82"/>
    <w:bookmarkStart w:id="85"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3">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4">
        <w:r>
          <w:rPr>
            <w:rStyle w:val="Hyperlink"/>
          </w:rPr>
          <w:t xml:space="preserve">https://www.law.go.kr</w:t>
        </w:r>
      </w:hyperlink>
      <w:r>
        <w:t xml:space="preserv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2026-05-10T14:50:33Z</dcterms:created>
  <dcterms:modified xsi:type="dcterms:W3CDTF">2026-05-10T14:50:33Z</dcterms:modified>
</cp:coreProperties>
</file>

<file path=docProps/custom.xml><?xml version="1.0" encoding="utf-8"?>
<Properties xmlns="http://schemas.openxmlformats.org/officeDocument/2006/custom-properties" xmlns:vt="http://schemas.openxmlformats.org/officeDocument/2006/docPropsVTypes"/>
</file>