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2.png" ContentType="image/png"/>
  <Override PartName="/word/media/rId40.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12db9d99a5ba7d4a6ed195b593e01dda56b732f"/>
    <w:p>
      <w:pPr>
        <w:pStyle w:val="Heading1"/>
      </w:pPr>
      <w:r>
        <w:t xml:space="preserve">Detecting Jurisdiction Compliance Gaps in Process Plant Engineering with Regulatory RAG</w:t>
      </w:r>
    </w:p>
    <w:p>
      <w:pPr>
        <w:pStyle w:val="FirstParagraph"/>
      </w:pPr>
      <w:r>
        <w:rPr>
          <w:b/>
          <w:bCs/>
        </w:rPr>
        <w:t xml:space="preserve">Yuyong Kim</w:t>
      </w:r>
      <w:r>
        <w:t xml:space="preserve"> </w:t>
      </w:r>
      <w:r>
        <w:rPr>
          <w:i/>
          <w:iCs/>
        </w:rPr>
        <w:t xml:space="preserve">University of Wisconsin–Madison</w:t>
      </w:r>
      <w:r>
        <w:t xml:space="preserve"> </w:t>
      </w:r>
      <w:r>
        <w:t xml:space="preserve">ykim288@wisc.edu</w:t>
      </w:r>
    </w:p>
    <w:p>
      <w:pPr>
        <w:pStyle w:val="BodyText"/>
      </w:pPr>
      <w:r>
        <w:t xml:space="preserve">Manuscript number: JLP-D-26-00414 (revised)</w:t>
      </w:r>
    </w:p>
    <w:p>
      <w:r>
        <w:pict>
          <v:rect style="width:0;height:1.5pt" o:hralign="center" o:hrstd="t" o:hr="t"/>
        </w:pict>
      </w:r>
    </w:p>
    <w:bookmarkStart w:id="9" w:name="abstract"/>
    <w:p>
      <w:pPr>
        <w:pStyle w:val="Heading2"/>
      </w:pPr>
      <w:r>
        <w:t xml:space="preserve">Abstract</w:t>
      </w:r>
    </w:p>
    <w:p>
      <w:pPr>
        <w:pStyle w:val="FirstParagraph"/>
      </w:pPr>
      <w: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w:t>
      </w:r>
      <w:r>
        <w:t xml:space="preserve"> </w:t>
      </w:r>
      <w:r>
        <w:rPr>
          <w:b/>
          <w:bCs/>
        </w:rPr>
        <w:t xml:space="preserve">16,174 entries (13,084 guide chunks + 3,090 indexed law-article entries)</w:t>
      </w:r>
      <w:r>
        <w:t xml:space="preserve"> </w:t>
      </w:r>
      <w:r>
        <w:t xml:space="preserve">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with the strongest signal concentrated in piping-vessel nozzle-margin coupling (22 of 26 detections),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where ASME/API calculations clear without flag. Under the prevailing industry baseline (</w:t>
      </w:r>
      <w:r>
        <w:t xml:space="preserve">“ASME/API pass = compliance complete”</w:t>
      </w:r>
      <w:r>
        <w:t xml:space="preserve">), the same three cases yield 0/3 detections, while the proposed system yields 3/3. We position the framework as a</w:t>
      </w:r>
      <w:r>
        <w:t xml:space="preserve"> </w:t>
      </w:r>
      <w:r>
        <w:rPr>
          <w:b/>
          <w:bCs/>
        </w:rPr>
        <w:t xml:space="preserve">compliance co-pilot</w:t>
      </w:r>
      <w:r>
        <w:t xml:space="preserve"> </w:t>
      </w:r>
      <w:r>
        <w:t xml:space="preserve">for HAZOP, RBI, and digital-twin workflows, not a replacement, and define the</w:t>
      </w:r>
      <w:r>
        <w:t xml:space="preserve"> </w:t>
      </w:r>
      <w:r>
        <w:rPr>
          <w:b/>
          <w:bCs/>
        </w:rPr>
        <w:t xml:space="preserve">jurisdiction compliance gap</w:t>
      </w:r>
      <w:r>
        <w:t xml:space="preserve"> </w:t>
      </w:r>
      <w:r>
        <w:t xml:space="preserve">as the structural space between international code compliance and Korean PSM regulatory fulfilment. Code, datasets, and the index manifest are released under AGPL-3.0.</w:t>
      </w:r>
    </w:p>
    <w:p>
      <w:pPr>
        <w:pStyle w:val="BodyText"/>
      </w:pPr>
      <w:r>
        <w:rPr>
          <w:b/>
          <w:bCs/>
        </w:rPr>
        <w:t xml:space="preserve">Keywords:</w:t>
      </w:r>
      <w:r>
        <w:t xml:space="preserve"> </w:t>
      </w:r>
      <w:r>
        <w:t xml:space="preserve">KOSHA RAG · process safety management · process plant engineering · multi-discipline verification · jurisdiction compliance gap · large language model · regulatory compliance</w:t>
      </w:r>
    </w:p>
    <w:p>
      <w:r>
        <w:pict>
          <v:rect style="width:0;height:1.5pt" o:hralign="center" o:hrstd="t" o:hr="t"/>
        </w:pict>
      </w:r>
    </w:p>
    <w:bookmarkEnd w:id="9"/>
    <w:bookmarkStart w:id="13" w:name="introduction"/>
    <w:p>
      <w:pPr>
        <w:pStyle w:val="Heading2"/>
      </w:pPr>
      <w:r>
        <w:t xml:space="preserve">1. Introduction</w:t>
      </w:r>
    </w:p>
    <w:p>
      <w:pPr>
        <w:pStyle w:val="FirstParagraph"/>
      </w:pPr>
      <w: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w:t>
      </w:r>
      <w:r>
        <w:t xml:space="preserve"> </w:t>
      </w:r>
      <w:r>
        <w:rPr>
          <w:i/>
          <w:iCs/>
        </w:rPr>
        <w:t xml:space="preserve">Rules on Occupational Safety and Health Standards</w:t>
      </w:r>
      <w:r>
        <w:t xml:space="preserve">.</w:t>
      </w:r>
    </w:p>
    <w:p>
      <w:pPr>
        <w:pStyle w:val="BodyText"/>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p>
    <w:p>
      <w:pPr>
        <w:pStyle w:val="BodyText"/>
      </w:pPr>
      <w:r>
        <w:t xml:space="preserve">This study addresses the following two research questions:</w:t>
      </w:r>
    </w:p>
    <w:p>
      <w:pPr>
        <w:pStyle w:val="BodyText"/>
      </w:pP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ody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odyText"/>
      </w:pPr>
      <w:r>
        <w:t xml:space="preserve">The contributions of this paper are as follows. First, we propose a verification architecture that integrates seven engineering disciplines into a single orchestration pipeline and automatically detects coupling hazards across ten predefined domain pairs, with empirical validation strongest in piping-vessel coupling and exploratory in the remaining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w:t>
      </w:r>
      <w:r>
        <w:t xml:space="preserve">“ASME/API pass = compliance complete”</w:t>
      </w:r>
      <w:r>
        <w:t xml:space="preserve">) on three representative case studies;</w:t>
      </w:r>
      <w:r>
        <w:t xml:space="preserve"> </w:t>
      </w:r>
      <w:r>
        <w:rPr>
          <w:b/>
          <w:bCs/>
        </w:rPr>
        <w:t xml:space="preserve">Appendix A complements this synthetic evidence with a real-plant data-sheet validation case (VES-REAL-001, anonymised cryogenic flare knockout drum)</w:t>
      </w:r>
      <w:r>
        <w:t xml:space="preserve"> </w:t>
      </w:r>
      <w:r>
        <w:t xml:space="preserve">so that the framework is demonstrated end-to-end on actual EPC design data and not on synthetic inputs alone. Fourth, we formalise the</w:t>
      </w:r>
      <w:r>
        <w:t xml:space="preserve"> </w:t>
      </w:r>
      <w:r>
        <w:rPr>
          <w:b/>
          <w:bCs/>
        </w:rPr>
        <w:t xml:space="preserve">jurisdiction compliance gap</w:t>
      </w:r>
      <w:r>
        <w:t xml:space="preserve"> </w:t>
      </w:r>
      <w:r>
        <w:t xml:space="preserve">as a defined construct and position the system as a compliance co-pilot to HAZOP, RBI, and digital-twin workflows — not a replacement. Code and datasets are released under AGPL-3.0.</w:t>
      </w:r>
    </w:p>
    <w:p>
      <w:pPr>
        <w:pStyle w:val="BodyText"/>
      </w:pPr>
      <w:r>
        <w:rPr>
          <w:b/>
          <w:bCs/>
        </w:rPr>
        <w:t xml:space="preserve">Scope statement.</w:t>
      </w:r>
      <w:r>
        <w:t xml:space="preserve"> </w:t>
      </w:r>
      <w:r>
        <w:t xml:space="preserve">The architecture described in §3 spans seven engineering disciplines and four verification layers; this is the</w:t>
      </w:r>
      <w:r>
        <w:t xml:space="preserve"> </w:t>
      </w:r>
      <w:r>
        <w:rPr>
          <w:b/>
          <w:bCs/>
        </w:rPr>
        <w:t xml:space="preserve">framework scope</w:t>
      </w:r>
      <w:r>
        <w:t xml:space="preserve">. The empirical evidence presented in §6 covers a subset — the</w:t>
      </w:r>
      <w:r>
        <w:t xml:space="preserve"> </w:t>
      </w:r>
      <w:r>
        <w:rPr>
          <w:b/>
          <w:bCs/>
        </w:rPr>
        <w:t xml:space="preserve">validated scope</w:t>
      </w:r>
      <w:r>
        <w:t xml:space="preserve"> </w:t>
      </w:r>
      <w:r>
        <w:t xml:space="preserve">— concentrated in piping-vessel coupling (22 of 26 ablation detections); electrical-rotating, civil-rotating, instrumentation, and structural pairs are exercised at a more exploratory level. The two scopes are separated throughout the paper to avoid the impression that empirical validation has covered the full architecture uniformly.</w:t>
      </w:r>
    </w:p>
    <w:p>
      <w:pPr>
        <w:pStyle w:val="CaptionedFigure"/>
      </w:pPr>
      <w: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1" name="Picture"/>
            <a:graphic>
              <a:graphicData uri="http://schemas.openxmlformats.org/drawingml/2006/picture">
                <pic:pic>
                  <pic:nvPicPr>
                    <pic:cNvPr descr="figures/fig_1_system_architecture.png" id="12" name="Picture"/>
                    <pic:cNvPicPr>
                      <a:picLocks noChangeArrowheads="1" noChangeAspect="1"/>
                    </pic:cNvPicPr>
                  </pic:nvPicPr>
                  <pic:blipFill>
                    <a:blip r:embed="rId10"/>
                    <a:stretch>
                      <a:fillRect/>
                    </a:stretch>
                  </pic:blipFill>
                  <pic:spPr bwMode="auto">
                    <a:xfrm>
                      <a:off x="0" y="0"/>
                      <a:ext cx="5334000" cy="2315482"/>
                    </a:xfrm>
                    <a:prstGeom prst="rect">
                      <a:avLst/>
                    </a:prstGeom>
                    <a:noFill/>
                    <a:ln w="9525">
                      <a:noFill/>
                      <a:headEnd/>
                      <a:tailEnd/>
                    </a:ln>
                  </pic:spPr>
                </pic:pic>
              </a:graphicData>
            </a:graphic>
          </wp:inline>
        </w:drawing>
      </w:r>
    </w:p>
    <w:p>
      <w:pPr>
        <w:pStyle w:val="ImageCaption"/>
      </w:pPr>
      <w:r>
        <w:t xml:space="preserve">Figure 1. Overall system architecture: orchestrator, seven domain calculation services with shared four-layer verification, cross-discipline validator, and KOSHA Regulatory RAG layer with on-premises LLM.</w:t>
      </w:r>
    </w:p>
    <w:p>
      <w:r>
        <w:pict>
          <v:rect style="width:0;height:1.5pt" o:hralign="center" o:hrstd="t" o:hr="t"/>
        </w:pict>
      </w:r>
    </w:p>
    <w:bookmarkEnd w:id="13"/>
    <w:bookmarkStart w:id="20" w:name="related-work"/>
    <w:p>
      <w:pPr>
        <w:pStyle w:val="Heading2"/>
      </w:pPr>
      <w:r>
        <w:t xml:space="preserve">2. Related Work</w:t>
      </w:r>
    </w:p>
    <w:bookmarkStart w:id="14" w:name="ai-applications-in-process-safety"/>
    <w:p>
      <w:pPr>
        <w:pStyle w:val="Heading3"/>
      </w:pPr>
      <w:r>
        <w:t xml:space="preserve">2.1 AI Applications in Process Safety</w:t>
      </w:r>
    </w:p>
    <w:p>
      <w:pPr>
        <w:pStyle w:val="FirstParagraph"/>
      </w:pPr>
      <w: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p>
    <w:bookmarkEnd w:id="14"/>
    <w:bookmarkStart w:id="15" w:name="rag-in-technical-and-regulatory-domains"/>
    <w:p>
      <w:pPr>
        <w:pStyle w:val="Heading3"/>
      </w:pPr>
      <w:r>
        <w:t xml:space="preserve">2.2 RAG in Technical and Regulatory Domains</w:t>
      </w:r>
    </w:p>
    <w:p>
      <w:pPr>
        <w:pStyle w:val="FirstParagraph"/>
      </w:pPr>
      <w: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w:t>
      </w:r>
      <w:r>
        <w:t xml:space="preserve"> </w:t>
      </w:r>
      <w:r>
        <w:rPr>
          <w:b/>
          <w:bCs/>
        </w:rPr>
        <w:t xml:space="preserve">RAGuard</w:t>
      </w:r>
      <w:r>
        <w:t xml:space="preserve">,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w:t>
      </w:r>
      <w:r>
        <w:t xml:space="preserve"> </w:t>
      </w:r>
      <w:r>
        <w:t xml:space="preserve">“how RAG-based systems can fulfil regulatory requirements”</w:t>
      </w:r>
      <w:r>
        <w:t xml:space="preserve"> </w:t>
      </w:r>
      <w:r>
        <w:t xml:space="preserve">as an open research direction, but leave actual regulatory corpus construction and engineering-calculation integration unexplored.</w:t>
      </w:r>
    </w:p>
    <w:bookmarkEnd w:id="15"/>
    <w:bookmarkStart w:id="16" w:name="X0fc09801f25ed2983f70be59186bb1e62c66345"/>
    <w:p>
      <w:pPr>
        <w:pStyle w:val="Heading3"/>
      </w:pPr>
      <w:r>
        <w:t xml:space="preserve">2.3 Multi-Discipline Maintenance and Asset Integrity</w:t>
      </w:r>
    </w:p>
    <w:p>
      <w:pPr>
        <w:pStyle w:val="FirstParagraph"/>
      </w:pPr>
      <w: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bookmarkEnd w:id="16"/>
    <w:bookmarkStart w:id="17" w:name="X5eeafd4ea8b7058369770114167c978a808e744"/>
    <w:p>
      <w:pPr>
        <w:pStyle w:val="Heading3"/>
      </w:pPr>
      <w:r>
        <w:t xml:space="preserve">2.4 Verification Methodology — N-Version Programming and K-Voting</w:t>
      </w:r>
    </w:p>
    <w:p>
      <w:pPr>
        <w:pStyle w:val="FirstParagraph"/>
      </w:pPr>
      <w: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bookmarkEnd w:id="17"/>
    <w:bookmarkStart w:id="18" w:name="korean-psm-regulation-and-kosha"/>
    <w:p>
      <w:pPr>
        <w:pStyle w:val="Heading3"/>
      </w:pPr>
      <w:r>
        <w:t xml:space="preserve">2.5 Korean PSM Regulation and KOSHA</w:t>
      </w:r>
    </w:p>
    <w:p>
      <w:pPr>
        <w:pStyle w:val="FirstParagraph"/>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bookmarkEnd w:id="18"/>
    <w:bookmarkStart w:id="19" w:name="X03437619b635eb74f113d63efdeb1c92547e787"/>
    <w:p>
      <w:pPr>
        <w:pStyle w:val="Heading3"/>
      </w:pPr>
      <w:r>
        <w:t xml:space="preserve">2.6 Position relative to HAZOP, RBI, and Digital Twin</w:t>
      </w:r>
    </w:p>
    <w:p>
      <w:pPr>
        <w:pStyle w:val="FirstParagraph"/>
      </w:pPr>
      <w:r>
        <w:t xml:space="preserve">The proposed framework is intentionally complementary to — not a replacement for — established process-safety methods.</w:t>
      </w:r>
      <w:r>
        <w:t xml:space="preserve"> </w:t>
      </w:r>
      <w:r>
        <w:rPr>
          <w:b/>
          <w:bCs/>
        </w:rPr>
        <w:t xml:space="preserve">HAZOP</w:t>
      </w:r>
      <w:r>
        <w:t xml:space="preserve"> </w:t>
      </w:r>
      <w:r>
        <w:t xml:space="preserve">identifies process deviations through expert-led, multidisciplinary workshops;</w:t>
      </w:r>
      <w:r>
        <w:t xml:space="preserve"> </w:t>
      </w:r>
      <w:r>
        <w:rPr>
          <w:b/>
          <w:bCs/>
        </w:rPr>
        <w:t xml:space="preserve">RBI (Risk-Based Inspection)</w:t>
      </w:r>
      <w:r>
        <w:t xml:space="preserve"> </w:t>
      </w:r>
      <w:r>
        <w:t xml:space="preserve">optimises inspection strategy from equipment degradation models;</w:t>
      </w:r>
      <w:r>
        <w:t xml:space="preserve"> </w:t>
      </w:r>
      <w:r>
        <w:rPr>
          <w:b/>
          <w:bCs/>
        </w:rPr>
        <w:t xml:space="preserve">Digital Twins</w:t>
      </w:r>
      <w:r>
        <w:t xml:space="preserve"> </w:t>
      </w:r>
      <w:r>
        <w:t xml:space="preserve">maintain a live or near-live mirror of plant state. None of these methods natively encodes jurisdiction-specific statutory obligations. The present system fills that gap as a</w:t>
      </w:r>
      <w:r>
        <w:t xml:space="preserve"> </w:t>
      </w:r>
      <w:r>
        <w:rPr>
          <w:b/>
          <w:bCs/>
        </w:rPr>
        <w:t xml:space="preserve">compliance co-pilot</w:t>
      </w:r>
      <w:r>
        <w:t xml:space="preserve"> </w:t>
      </w:r>
      <w:r>
        <w:t xml:space="preserve">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p>
      <w:r>
        <w:pict>
          <v:rect style="width:0;height:1.5pt" o:hralign="center" o:hrstd="t" o:hr="t"/>
        </w:pict>
      </w:r>
    </w:p>
    <w:bookmarkEnd w:id="19"/>
    <w:bookmarkEnd w:id="20"/>
    <w:bookmarkStart w:id="21" w:name="system-architecture"/>
    <w:p>
      <w:pPr>
        <w:pStyle w:val="Heading2"/>
      </w:pPr>
      <w:r>
        <w:t xml:space="preserve">3. System Architecture</w:t>
      </w:r>
    </w:p>
    <w:p>
      <w:pPr>
        <w:pStyle w:val="FirstParagraph"/>
      </w:pPr>
      <w: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w:t>
      </w:r>
      <w:r>
        <w:rPr>
          <w:rStyle w:val="VerbatimChar"/>
        </w:rPr>
        <w:t xml:space="preserve">src/orchestrator/pipeline.py</w:t>
      </w:r>
      <w:r>
        <w:t xml:space="preserve">,</w:t>
      </w:r>
      <w:r>
        <w:t xml:space="preserve"> </w:t>
      </w:r>
      <w:r>
        <w:rPr>
          <w:rStyle w:val="VerbatimChar"/>
        </w:rPr>
        <w:t xml:space="preserve">src/orchestrator/state_machine.py</w:t>
      </w:r>
      <w:r>
        <w:t xml:space="preserve">). Each domain service follows an identical four-layer verification structure (</w:t>
      </w:r>
      <w:r>
        <w:rPr>
          <w:rStyle w:val="VerbatimChar"/>
        </w:rPr>
        <w:t xml:space="preserve">src/services/&lt;discipline&gt;_service.py</w:t>
      </w:r>
      <w:r>
        <w:t xml:space="preserve">). Calculation outputs are passed to the cross-discipline validator (</w:t>
      </w:r>
      <w:r>
        <w:rPr>
          <w:rStyle w:val="VerbatimChar"/>
        </w:rPr>
        <w:t xml:space="preserve">src/cross_discipline/validator.py</w:t>
      </w:r>
      <w:r>
        <w:t xml:space="preserve">) for coupling hazard analysis across ten predefined domain pairs. The KOSHA RAG layer (</w:t>
      </w:r>
      <w:r>
        <w:rPr>
          <w:rStyle w:val="VerbatimChar"/>
        </w:rPr>
        <w:t xml:space="preserve">src/rag/local_kosha_rag.py</w:t>
      </w:r>
      <w:r>
        <w:t xml:space="preserve">) translates the domain calculation context into a Korean natural-language query, retrieves relevant regulatory passages from a local SQLite FTS5 index, and uses an on-premises Qwen 2.5 7B Instruct model (</w:t>
      </w:r>
      <w:r>
        <w:rPr>
          <w:rStyle w:val="VerbatimChar"/>
        </w:rPr>
        <w:t xml:space="preserve">qwen2.5:7b-instruct</w:t>
      </w:r>
      <w:r>
        <w:t xml:space="preserve">,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w:t>
      </w:r>
      <w:r>
        <w:rPr>
          <w:rStyle w:val="VerbatimChar"/>
        </w:rPr>
        <w:t xml:space="preserve">outputs/pipeline_latency.md</w:t>
      </w:r>
      <w:r>
        <w:t xml:space="preserve">),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p>
    <w:p>
      <w:r>
        <w:pict>
          <v:rect style="width:0;height:1.5pt" o:hralign="center" o:hrstd="t" o:hr="t"/>
        </w:pict>
      </w:r>
    </w:p>
    <w:bookmarkEnd w:id="21"/>
    <w:bookmarkStart w:id="29" w:name="kosha-regulatory-knowledge-layer"/>
    <w:p>
      <w:pPr>
        <w:pStyle w:val="Heading2"/>
      </w:pPr>
      <w:r>
        <w:t xml:space="preserve">4. KOSHA Regulatory Knowledge Layer</w:t>
      </w:r>
    </w:p>
    <w:bookmarkStart w:id="25" w:name="corpus-construction"/>
    <w:p>
      <w:pPr>
        <w:pStyle w:val="Heading3"/>
      </w:pPr>
      <w:r>
        <w:t xml:space="preserve">4.1 Corpus Construction</w:t>
      </w:r>
    </w:p>
    <w:p>
      <w:pPr>
        <w:pStyle w:val="FirstParagraph"/>
      </w:pPr>
      <w:r>
        <w:t xml:space="preserve">The KOSHA regulatory corpus was assembled from two public APIs of the Korean</w:t>
      </w:r>
      <w:r>
        <w:t xml:space="preserve"> </w:t>
      </w:r>
      <w:r>
        <w:rPr>
          <w:i/>
          <w:iCs/>
        </w:rPr>
        <w:t xml:space="preserve">Open Data Portal</w:t>
      </w:r>
      <w:r>
        <w:t xml:space="preserve"> </w:t>
      </w:r>
      <w:r>
        <w:t xml:space="preserve">(</w:t>
      </w:r>
      <w:r>
        <w:rPr>
          <w:rStyle w:val="VerbatimChar"/>
        </w:rPr>
        <w:t xml:space="preserve">data.go.kr</w:t>
      </w:r>
      <w:r>
        <w:t xml:space="preserve">). The KOSHA smart-search endpoint (</w:t>
      </w:r>
      <w:r>
        <w:rPr>
          <w:rStyle w:val="VerbatimChar"/>
        </w:rPr>
        <w:t xml:space="preserve">/B552468/srch/smartSearch</w:t>
      </w:r>
      <w:r>
        <w:t xml:space="preserve">) was used to harvest</w:t>
      </w:r>
      <w:r>
        <w:t xml:space="preserve"> </w:t>
      </w:r>
      <w:r>
        <w:rPr>
          <w:b/>
          <w:bCs/>
        </w:rPr>
        <w:t xml:space="preserve">18,576</w:t>
      </w:r>
      <w:r>
        <w:t xml:space="preserve"> </w:t>
      </w:r>
      <w:r>
        <w:t xml:space="preserve">rows of guide-section and statutory-provision metadata across ten categories — categories 1–9 and 11; category 10 is unused by the KOSHA Smart-search API and therefore omitted by construction. The harvest comprises</w:t>
      </w:r>
      <w:r>
        <w:t xml:space="preserve"> </w:t>
      </w:r>
      <w:r>
        <w:rPr>
          <w:b/>
          <w:bCs/>
        </w:rPr>
        <w:t xml:space="preserve">1,327 guide documents (9,069 sections)</w:t>
      </w:r>
      <w:r>
        <w:t xml:space="preserve"> </w:t>
      </w:r>
      <w:r>
        <w:t xml:space="preserve">and</w:t>
      </w:r>
      <w:r>
        <w:t xml:space="preserve"> </w:t>
      </w:r>
      <w:r>
        <w:rPr>
          <w:b/>
          <w:bCs/>
        </w:rPr>
        <w:t xml:space="preserve">3,102 statutory-provision rows</w:t>
      </w:r>
      <w:r>
        <w:t xml:space="preserve"> </w:t>
      </w:r>
      <w:r>
        <w:t xml:space="preserve">(</w:t>
      </w:r>
      <w:r>
        <w:rPr>
          <w:rStyle w:val="VerbatimChar"/>
        </w:rPr>
        <w:t xml:space="preserve">datasets/kosha/manifest.json</w:t>
      </w:r>
      <w:r>
        <w:t xml:space="preserve">). The KOSHA Guide PDF endpoint was used to download</w:t>
      </w:r>
      <w:r>
        <w:t xml:space="preserve"> </w:t>
      </w:r>
      <w:r>
        <w:rPr>
          <w:b/>
          <w:bCs/>
        </w:rPr>
        <w:t xml:space="preserve">1,039</w:t>
      </w:r>
      <w:r>
        <w:t xml:space="preserve"> </w:t>
      </w:r>
      <w:r>
        <w:t xml:space="preserve">technical guideline PDFs, which were parsed page-by-page, segmented into</w:t>
      </w:r>
      <w:r>
        <w:t xml:space="preserve"> </w:t>
      </w:r>
      <w:r>
        <w:rPr>
          <w:b/>
          <w:bCs/>
        </w:rPr>
        <w:t xml:space="preserve">13,084</w:t>
      </w:r>
      <w:r>
        <w:t xml:space="preserve"> </w:t>
      </w:r>
      <w:r>
        <w:t xml:space="preserve">retrieval-optimised chunks, and normalised. After parsing and indexing, the SQLite FTS5 index used at retrieval time retains</w:t>
      </w:r>
      <w:r>
        <w:t xml:space="preserve"> </w:t>
      </w:r>
      <w:r>
        <w:rPr>
          <w:b/>
          <w:bCs/>
        </w:rPr>
        <w:t xml:space="preserve">16,174 searchable rows = 13,084 guide chunks + 3,090 indexed law-article entries</w:t>
      </w:r>
      <w:r>
        <w:t xml:space="preserve">. Twelve law-article rows were excluded by</w:t>
      </w:r>
      <w:r>
        <w:t xml:space="preserve"> </w:t>
      </w:r>
      <w:r>
        <w:rPr>
          <w:rStyle w:val="VerbatimChar"/>
        </w:rPr>
        <w:t xml:space="preserve">src/rag/local_kosha_rag.py:185</w:t>
      </w:r>
      <w:r>
        <w:t xml:space="preserve"> </w:t>
      </w:r>
      <w:r>
        <w:t xml:space="preserve">because their</w:t>
      </w:r>
      <w:r>
        <w:t xml:space="preserve"> </w:t>
      </w:r>
      <w:r>
        <w:rPr>
          <w:rStyle w:val="VerbatimChar"/>
        </w:rPr>
        <w:t xml:space="preserve">content</w:t>
      </w:r>
      <w:r>
        <w:t xml:space="preserve"> </w:t>
      </w:r>
      <w:r>
        <w:t xml:space="preserve">field was empty in the source API response. Triage of these twelve (</w:t>
      </w:r>
      <w:r>
        <w:rPr>
          <w:rStyle w:val="VerbatimChar"/>
        </w:rPr>
        <w:t xml:space="preserve">outputs/kosha_missing_articles_report.md</w:t>
      </w:r>
      <w:r>
        <w:t xml:space="preserve">) shows that</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the remaining</w:t>
      </w:r>
      <w:r>
        <w:t xml:space="preserve"> </w:t>
      </w:r>
      <w:r>
        <w:rPr>
          <w:b/>
          <w:bCs/>
        </w:rPr>
        <w:t xml:space="preserve">eight require a JS-rendered re-fetch from the National Law Information Center</w:t>
      </w:r>
      <w:r>
        <w:t xml:space="preserve"> </w:t>
      </w:r>
      <w:r>
        <w:t xml:space="preserve">(</w:t>
      </w:r>
      <w:r>
        <w:rPr>
          <w:rStyle w:val="VerbatimChar"/>
        </w:rPr>
        <w:t xml:space="preserve">law.go.kr/lsScJoRltInfoR.do</w:t>
      </w:r>
      <w:r>
        <w:t xml:space="preserve"> </w:t>
      </w:r>
      <w:r>
        <w:t xml:space="preserve">is a single-page-application shell; KOSHA Smart-search retrieval by</w:t>
      </w:r>
      <w:r>
        <w:t xml:space="preserve"> </w:t>
      </w:r>
      <w:r>
        <w:rPr>
          <w:rStyle w:val="VerbatimChar"/>
        </w:rPr>
        <w:t xml:space="preserve">doc_id</w:t>
      </w:r>
      <w:r>
        <w:t xml:space="preserve"> </w:t>
      </w:r>
      <w:r>
        <w:t xml:space="preserve">returns no hits for these specific records). The pending eight are documented as Limitation 6 (§8). The resulting database is approximately 200 MB.</w:t>
      </w:r>
    </w:p>
    <w:p>
      <w:pPr>
        <w:pStyle w:val="CaptionedFigure"/>
      </w:pPr>
      <w: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3" name="Picture"/>
            <a:graphic>
              <a:graphicData uri="http://schemas.openxmlformats.org/drawingml/2006/picture">
                <pic:pic>
                  <pic:nvPicPr>
                    <pic:cNvPr descr="figures/fig_2_rag_workflow.png" id="24" name="Picture"/>
                    <pic:cNvPicPr>
                      <a:picLocks noChangeArrowheads="1" noChangeAspect="1"/>
                    </pic:cNvPicPr>
                  </pic:nvPicPr>
                  <pic:blipFill>
                    <a:blip r:embed="rId22"/>
                    <a:stretch>
                      <a:fillRect/>
                    </a:stretch>
                  </pic:blipFill>
                  <pic:spPr bwMode="auto">
                    <a:xfrm>
                      <a:off x="0" y="0"/>
                      <a:ext cx="5334000" cy="7135986"/>
                    </a:xfrm>
                    <a:prstGeom prst="rect">
                      <a:avLst/>
                    </a:prstGeom>
                    <a:noFill/>
                    <a:ln w="9525">
                      <a:noFill/>
                      <a:headEnd/>
                      <a:tailEnd/>
                    </a:ln>
                  </pic:spPr>
                </pic:pic>
              </a:graphicData>
            </a:graphic>
          </wp:inline>
        </w:drawing>
      </w:r>
    </w:p>
    <w:p>
      <w:pPr>
        <w:pStyle w:val="ImageCaption"/>
      </w:pPr>
      <w:r>
        <w:t xml:space="preserve">Figure 2. Regulatory RAG workflow: calculation context to concept-aware Korean query construction, BM25 FTS5 retrieval with synonym expansion and OR fallback, structured grounding generation with citation indices.</w:t>
      </w:r>
    </w:p>
    <w:bookmarkEnd w:id="25"/>
    <w:bookmarkStart w:id="26" w:name="retrieval-and-generation-pipeline"/>
    <w:p>
      <w:pPr>
        <w:pStyle w:val="Heading3"/>
      </w:pPr>
      <w:r>
        <w:t xml:space="preserve">4.2 Retrieval and Generation Pipeline</w:t>
      </w:r>
    </w:p>
    <w:p>
      <w:pPr>
        <w:pStyle w:val="FirstParagraph"/>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w:t>
      </w:r>
    </w:p>
    <w:p>
      <w:pPr>
        <w:pStyle w:val="BodyText"/>
      </w:pPr>
      <w:r>
        <w:t xml:space="preserve">Retrieved passages (top-k = 10 by default) are passed to Qwen 2.5 7B Instruct with a system prompt that constrains the output to three sections: (1)</w:t>
      </w:r>
      <w:r>
        <w:t xml:space="preserve"> </w:t>
      </w:r>
      <w:r>
        <w:rPr>
          <w:b/>
          <w:bCs/>
        </w:rPr>
        <w:t xml:space="preserve">Key conclusion</w:t>
      </w:r>
      <w:r>
        <w:t xml:space="preserve">, (2)</w:t>
      </w:r>
      <w:r>
        <w:t xml:space="preserve"> </w:t>
      </w:r>
      <w:r>
        <w:rPr>
          <w:b/>
          <w:bCs/>
        </w:rPr>
        <w:t xml:space="preserve">Regulatory justification summary</w:t>
      </w:r>
      <w:r>
        <w:t xml:space="preserve"> </w:t>
      </w:r>
      <w:r>
        <w:t xml:space="preserve">referencing each retrieved passage by index, and (3)</w:t>
      </w:r>
      <w:r>
        <w:t xml:space="preserve"> </w:t>
      </w:r>
      <w:r>
        <w:rPr>
          <w:b/>
          <w:bCs/>
        </w:rPr>
        <w:t xml:space="preserve">Practical advisories</w:t>
      </w:r>
      <w:r>
        <w:t xml:space="preserve"> </w:t>
      </w:r>
      <w:r>
        <w:t xml:space="preserve">with citation indices.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p>
    <w:bookmarkEnd w:id="26"/>
    <w:bookmarkStart w:id="27" w:name="X7029d79f95dce95bd609e8bf1990f8bc0f33d89"/>
    <w:p>
      <w:pPr>
        <w:pStyle w:val="Heading3"/>
      </w:pPr>
      <w:r>
        <w:t xml:space="preserve">4.3 KOSHA Regulatory Grounding — Mandatory vs Guidance</w:t>
      </w:r>
    </w:p>
    <w:p>
      <w:pPr>
        <w:pStyle w:val="FirstParagraph"/>
      </w:pPr>
      <w:r>
        <w:t xml:space="preserve">KOSHA-derived obligations differ in legal force.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FirstParagraph"/>
      </w:pPr>
      <w:r>
        <w:t xml:space="preserve">Each retrieved passage carries this label as</w:t>
      </w:r>
      <w:r>
        <w:t xml:space="preserve"> </w:t>
      </w:r>
      <w:r>
        <w:rPr>
          <w:rStyle w:val="VerbatimChar"/>
        </w:rPr>
        <w:t xml:space="preserve">metadata.regulatory_class</w:t>
      </w:r>
      <w:r>
        <w:t xml:space="preserve"> </w:t>
      </w:r>
      <w:r>
        <w:t xml:space="preserve">so downstream displays and reports can prioritise mandatory items (Table 5). The labels are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are not inferred by the LLM.</w:t>
      </w:r>
    </w:p>
    <w:bookmarkEnd w:id="27"/>
    <w:bookmarkStart w:id="28" w:name="X2ca3c0ef4e05820ff6e3026e541e9f305df9211"/>
    <w:p>
      <w:pPr>
        <w:pStyle w:val="Heading3"/>
      </w:pPr>
      <w:r>
        <w:t xml:space="preserve">4.4 Why standard EPC workflows do not cover these obligations</w:t>
      </w:r>
    </w:p>
    <w:p>
      <w:pPr>
        <w:pStyle w:val="FirstParagraph"/>
      </w:pPr>
      <w: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w:t>
      </w:r>
      <w:r>
        <w:t xml:space="preserve"> </w:t>
      </w:r>
      <w:r>
        <w:rPr>
          <w:i/>
          <w:iCs/>
        </w:rPr>
        <w:t xml:space="preserve">Rules on Occupational Safety and Health Standards</w:t>
      </w:r>
      <w:r>
        <w:t xml:space="preserve"> </w:t>
      </w:r>
      <w:r>
        <w:t xml:space="preserve">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r>
        <w:pict>
          <v:rect style="width:0;height:1.5pt" o:hralign="center" o:hrstd="t" o:hr="t"/>
        </w:pict>
      </w:r>
    </w:p>
    <w:bookmarkEnd w:id="28"/>
    <w:bookmarkEnd w:id="29"/>
    <w:bookmarkStart w:id="37" w:name="X05961d0007a6793ac375959d695db63ea004385"/>
    <w:p>
      <w:pPr>
        <w:pStyle w:val="Heading2"/>
      </w:pPr>
      <w:r>
        <w:t xml:space="preserve">5. Seven-Domain Calculation Engines and Four-Layer Verification</w:t>
      </w:r>
    </w:p>
    <w:bookmarkStart w:id="30" w:name="domain-calculation-engines"/>
    <w:p>
      <w:pPr>
        <w:pStyle w:val="Heading3"/>
      </w:pPr>
      <w:r>
        <w:t xml:space="preserve">5.1 Domain Calculation Engines</w:t>
      </w:r>
    </w:p>
    <w:p>
      <w:pPr>
        <w:pStyle w:val="FirstParagraph"/>
      </w:pPr>
      <w:r>
        <w:t xml:space="preserve">The seven domain calculation engines implement the standards listed in Table 1. Engine source files are under</w:t>
      </w:r>
      <w:r>
        <w:t xml:space="preserve"> </w:t>
      </w:r>
      <w:r>
        <w:rPr>
          <w:rStyle w:val="VerbatimChar"/>
        </w:rPr>
        <w:t xml:space="preserve">src/services/&lt;discipline&gt;_service.py</w:t>
      </w:r>
      <w:r>
        <w:t xml:space="preserve">; per-engine standard mappings and citation tables are in</w:t>
      </w:r>
      <w:r>
        <w:t xml:space="preserve"> </w:t>
      </w:r>
      <w:r>
        <w:rPr>
          <w:rStyle w:val="VerbatimChar"/>
        </w:rPr>
        <w:t xml:space="preserve">src/standards/</w:t>
      </w:r>
      <w:r>
        <w:t xml:space="preserve">.</w:t>
      </w:r>
    </w:p>
    <w:p>
      <w:pPr>
        <w:pStyle w:val="BodyText"/>
      </w:pPr>
      <w:r>
        <w:rPr>
          <w:b/>
          <w:bCs/>
        </w:rPr>
        <w:t xml:space="preserve">Table 1. Domain Calculation Engines and Standards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Standards</w:t>
            </w:r>
          </w:p>
        </w:tc>
        <w:tc>
          <w:tcPr/>
          <w:p>
            <w:pPr>
              <w:pStyle w:val="Compact"/>
            </w:pPr>
            <w:r>
              <w:t xml:space="preserve">Implementation</w:t>
            </w:r>
          </w:p>
        </w:tc>
      </w:tr>
      <w:tr>
        <w:tc>
          <w:tcPr/>
          <w:p>
            <w:pPr>
              <w:pStyle w:val="Compact"/>
            </w:pPr>
            <w:r>
              <w:t xml:space="preserve">Piping</w:t>
            </w:r>
          </w:p>
        </w:tc>
        <w:tc>
          <w:tcPr/>
          <w:p>
            <w:pPr>
              <w:pStyle w:val="Compact"/>
            </w:pPr>
            <w:r>
              <w:t xml:space="preserve">ASME B31.3, API 570</w:t>
            </w:r>
          </w:p>
        </w:tc>
        <w:tc>
          <w:tcPr/>
          <w:p>
            <w:pPr>
              <w:pStyle w:val="Compact"/>
            </w:pPr>
            <w:r>
              <w:rPr>
                <w:rStyle w:val="VerbatimChar"/>
              </w:rPr>
              <w:t xml:space="preserve">src/services/piping_service.py</w:t>
            </w:r>
          </w:p>
        </w:tc>
      </w:tr>
      <w:tr>
        <w:tc>
          <w:tcPr/>
          <w:p>
            <w:pPr>
              <w:pStyle w:val="Compact"/>
            </w:pPr>
            <w:r>
              <w:t xml:space="preserve">Pressure Vessels</w:t>
            </w:r>
          </w:p>
        </w:tc>
        <w:tc>
          <w:tcPr/>
          <w:p>
            <w:pPr>
              <w:pStyle w:val="Compact"/>
            </w:pPr>
            <w:r>
              <w:t xml:space="preserve">ASME Section VIII Div.1 (UG-27), API 510, API 579-1</w:t>
            </w:r>
          </w:p>
        </w:tc>
        <w:tc>
          <w:tcPr/>
          <w:p>
            <w:pPr>
              <w:pStyle w:val="Compact"/>
            </w:pPr>
            <w:r>
              <w:rPr>
                <w:rStyle w:val="VerbatimChar"/>
              </w:rPr>
              <w:t xml:space="preserve">src/services/vessel_service.py</w:t>
            </w:r>
          </w:p>
        </w:tc>
      </w:tr>
      <w:tr>
        <w:tc>
          <w:tcPr/>
          <w:p>
            <w:pPr>
              <w:pStyle w:val="Compact"/>
            </w:pPr>
            <w:r>
              <w:t xml:space="preserve">Rotating Equipment</w:t>
            </w:r>
          </w:p>
        </w:tc>
        <w:tc>
          <w:tcPr/>
          <w:p>
            <w:pPr>
              <w:pStyle w:val="Compact"/>
            </w:pPr>
            <w:r>
              <w:t xml:space="preserve">API 610, 617, 670</w:t>
            </w:r>
          </w:p>
        </w:tc>
        <w:tc>
          <w:tcPr/>
          <w:p>
            <w:pPr>
              <w:pStyle w:val="Compact"/>
            </w:pPr>
            <w:r>
              <w:rPr>
                <w:rStyle w:val="VerbatimChar"/>
              </w:rPr>
              <w:t xml:space="preserve">src/services/rotating_service.py</w:t>
            </w:r>
          </w:p>
        </w:tc>
      </w:tr>
      <w:tr>
        <w:tc>
          <w:tcPr/>
          <w:p>
            <w:pPr>
              <w:pStyle w:val="Compact"/>
            </w:pPr>
            <w:r>
              <w:t xml:space="preserve">Electrical</w:t>
            </w:r>
          </w:p>
        </w:tc>
        <w:tc>
          <w:tcPr/>
          <w:p>
            <w:pPr>
              <w:pStyle w:val="Compact"/>
            </w:pPr>
            <w:r>
              <w:t xml:space="preserve">IEEE C57.104, IEEE 1584-2018</w:t>
            </w:r>
          </w:p>
        </w:tc>
        <w:tc>
          <w:tcPr/>
          <w:p>
            <w:pPr>
              <w:pStyle w:val="Compact"/>
            </w:pPr>
            <w:r>
              <w:rPr>
                <w:rStyle w:val="VerbatimChar"/>
              </w:rPr>
              <w:t xml:space="preserve">src/services/electrical_service.py</w:t>
            </w:r>
          </w:p>
        </w:tc>
      </w:tr>
      <w:tr>
        <w:tc>
          <w:tcPr/>
          <w:p>
            <w:pPr>
              <w:pStyle w:val="Compact"/>
            </w:pPr>
            <w:r>
              <w:t xml:space="preserve">Instrumentation</w:t>
            </w:r>
          </w:p>
        </w:tc>
        <w:tc>
          <w:tcPr/>
          <w:p>
            <w:pPr>
              <w:pStyle w:val="Compact"/>
            </w:pPr>
            <w:r>
              <w:t xml:space="preserve">IEC 61511, ISA-TR84.00.02</w:t>
            </w:r>
          </w:p>
        </w:tc>
        <w:tc>
          <w:tcPr/>
          <w:p>
            <w:pPr>
              <w:pStyle w:val="Compact"/>
            </w:pPr>
            <w:r>
              <w:rPr>
                <w:rStyle w:val="VerbatimChar"/>
              </w:rPr>
              <w:t xml:space="preserve">src/services/instrumentation_service.py</w:t>
            </w:r>
          </w:p>
        </w:tc>
      </w:tr>
      <w:tr>
        <w:tc>
          <w:tcPr/>
          <w:p>
            <w:pPr>
              <w:pStyle w:val="Compact"/>
            </w:pPr>
            <w:r>
              <w:t xml:space="preserve">Structural Steel</w:t>
            </w:r>
          </w:p>
        </w:tc>
        <w:tc>
          <w:tcPr/>
          <w:p>
            <w:pPr>
              <w:pStyle w:val="Compact"/>
            </w:pPr>
            <w:r>
              <w:t xml:space="preserve">AISC 360</w:t>
            </w:r>
          </w:p>
        </w:tc>
        <w:tc>
          <w:tcPr/>
          <w:p>
            <w:pPr>
              <w:pStyle w:val="Compact"/>
            </w:pPr>
            <w:r>
              <w:rPr>
                <w:rStyle w:val="VerbatimChar"/>
              </w:rPr>
              <w:t xml:space="preserve">src/services/steel_service.py</w:t>
            </w:r>
          </w:p>
        </w:tc>
      </w:tr>
      <w:tr>
        <w:tc>
          <w:tcPr/>
          <w:p>
            <w:pPr>
              <w:pStyle w:val="Compact"/>
            </w:pPr>
            <w:r>
              <w:t xml:space="preserve">Civil / Concrete</w:t>
            </w:r>
          </w:p>
        </w:tc>
        <w:tc>
          <w:tcPr/>
          <w:p>
            <w:pPr>
              <w:pStyle w:val="Compact"/>
            </w:pPr>
            <w:r>
              <w:t xml:space="preserve">ACI 318, ACI 562</w:t>
            </w:r>
          </w:p>
        </w:tc>
        <w:tc>
          <w:tcPr/>
          <w:p>
            <w:pPr>
              <w:pStyle w:val="Compact"/>
            </w:pPr>
            <w:r>
              <w:rPr>
                <w:rStyle w:val="VerbatimChar"/>
              </w:rPr>
              <w:t xml:space="preserve">src/services/civil_service.py</w:t>
            </w:r>
          </w:p>
        </w:tc>
      </w:tr>
    </w:tbl>
    <w:p>
      <w:pPr>
        <w:pStyle w:val="BodyText"/>
      </w:pPr>
      <w: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w:t>
      </w:r>
      <w:r>
        <w:rPr>
          <w:rStyle w:val="VerbatimChar"/>
        </w:rPr>
        <w:t xml:space="preserve">src/orchestrator/state_machine.py</w:t>
      </w:r>
      <w:r>
        <w:t xml:space="preserve">), which routes a request to one or more discipline services and then to the cross-discipline validator.</w:t>
      </w:r>
    </w:p>
    <w:bookmarkEnd w:id="30"/>
    <w:bookmarkStart w:id="31" w:name="four-layer-hybrid-verification-model"/>
    <w:p>
      <w:pPr>
        <w:pStyle w:val="Heading3"/>
      </w:pPr>
      <w:r>
        <w:t xml:space="preserve">5.2 Four-Layer Hybrid Verification Model</w:t>
      </w:r>
    </w:p>
    <w:p>
      <w:pPr>
        <w:pStyle w:val="FirstParagraph"/>
      </w:pPr>
      <w:r>
        <w:rPr>
          <w:b/>
          <w:bCs/>
        </w:rPr>
        <w:t xml:space="preserve">Layer 1 — Input Validation.</w:t>
      </w:r>
      <w:r>
        <w:t xml:space="preserve"> </w:t>
      </w:r>
      <w:r>
        <w:t xml:space="preserve">Checks mandatory field presence, unit-contract compliance (every numerical field carries an explicit unit such as</w:t>
      </w:r>
      <w:r>
        <w:t xml:space="preserve"> </w:t>
      </w:r>
      <w:r>
        <w:rPr>
          <w:rStyle w:val="VerbatimChar"/>
        </w:rPr>
        <w:t xml:space="preserve">MPa</w:t>
      </w:r>
      <w:r>
        <w:t xml:space="preserve">,</w:t>
      </w:r>
      <w:r>
        <w:t xml:space="preserve"> </w:t>
      </w:r>
      <w:r>
        <w:rPr>
          <w:rStyle w:val="VerbatimChar"/>
        </w:rPr>
        <w:t xml:space="preserve">mm</w:t>
      </w:r>
      <w:r>
        <w:t xml:space="preserve">,</w:t>
      </w:r>
      <w:r>
        <w:t xml:space="preserve"> </w:t>
      </w:r>
      <w:r>
        <w:rPr>
          <w:rStyle w:val="VerbatimChar"/>
        </w:rPr>
        <w:t xml:space="preserve">°C</w:t>
      </w:r>
      <w:r>
        <w:t xml:space="preserve">), and domain-specific range constraints (e.g., design pressure within ASME Section II material allowable). Missing critical fields or unit inconsistencies trigger a blocking error that prevents downstream calculation.</w:t>
      </w:r>
    </w:p>
    <w:p>
      <w:pPr>
        <w:pStyle w:val="BodyText"/>
      </w:pPr>
      <w:r>
        <w:rPr>
          <w:b/>
          <w:bCs/>
        </w:rPr>
        <w:t xml:space="preserve">Layer 2 — K-Voting Consensus.</w:t>
      </w:r>
      <w:r>
        <w:t xml:space="preserve"> </w:t>
      </w:r>
      <w:r>
        <w:t xml:space="preserve">Three calculation paths execute in parallel, each using deliberately varied numerical strategies — rounding order, interpolation method, and intermediate-precision handling. The maximum relative deviation among outputs must not exceed</w:t>
      </w:r>
      <w:r>
        <w:t xml:space="preserve"> </w:t>
      </w:r>
      <w:r>
        <w:rPr>
          <w:b/>
          <w:bCs/>
        </w:rPr>
        <w:t xml:space="preserve">1%</w:t>
      </w:r>
      <w:r>
        <w:t xml:space="preserve">. If the threshold is exceeded, a tiebreaker path is invoked; persistent consensus failure raises a</w:t>
      </w:r>
      <w:r>
        <w:t xml:space="preserve"> </w:t>
      </w:r>
      <w:r>
        <w:rPr>
          <w:rStyle w:val="VerbatimChar"/>
        </w:rPr>
        <w:t xml:space="preserve">no_consensus</w:t>
      </w:r>
      <w:r>
        <w:t xml:space="preserve"> </w:t>
      </w:r>
      <w:r>
        <w:t xml:space="preserve">flag and requests human review. The mechanism is motivated by the N-version programming principle [11] but is restricted to numerical-consistency verification rather than full implementation independence; design rationale and threshold sensitivity are discussed in §5.4.</w:t>
      </w:r>
    </w:p>
    <w:p>
      <w:pPr>
        <w:pStyle w:val="BodyText"/>
      </w:pPr>
      <w:r>
        <w:rPr>
          <w:b/>
          <w:bCs/>
        </w:rPr>
        <w:t xml:space="preserve">Layer 3 — Physics and Code Compliance.</w:t>
      </w:r>
      <w:r>
        <w:t xml:space="preserve"> </w:t>
      </w:r>
      <w:r>
        <w:t xml:space="preserve">Domain-specific red flags are enforced. For example, a measured thickness below the computed minimum required thickness raises a critical physics flag and blocks output. All major calculation steps carry explicit standard citations, persisted in the audit trail.</w:t>
      </w:r>
    </w:p>
    <w:p>
      <w:pPr>
        <w:pStyle w:val="BodyText"/>
      </w:pPr>
      <w:r>
        <w:rPr>
          <w:b/>
          <w:bCs/>
        </w:rPr>
        <w:t xml:space="preserve">Layer 4 — Reverse Verification.</w:t>
      </w:r>
      <w:r>
        <w:t xml:space="preserve"> </w:t>
      </w:r>
      <w:r>
        <w:t xml:space="preserve">Key inputs are back-calculated from outputs and compared against the original inputs to verify internal consistency. A deviation exceeding</w:t>
      </w:r>
      <w:r>
        <w:t xml:space="preserve"> </w:t>
      </w:r>
      <w:r>
        <w:rPr>
          <w:b/>
          <w:bCs/>
        </w:rPr>
        <w:t xml:space="preserve">2% triggers a warning</w:t>
      </w:r>
      <w:r>
        <w:t xml:space="preserve">; a deviation exceeding</w:t>
      </w:r>
      <w:r>
        <w:t xml:space="preserve"> </w:t>
      </w:r>
      <w:r>
        <w:rPr>
          <w:b/>
          <w:bCs/>
        </w:rPr>
        <w:t xml:space="preserve">5% triggers escalation</w:t>
      </w:r>
      <w:r>
        <w:t xml:space="preserve"> </w:t>
      </w:r>
      <w:r>
        <w:t xml:space="preserve">with a confidence downgrade and a full audit trail entry.</w:t>
      </w:r>
    </w:p>
    <w:bookmarkEnd w:id="31"/>
    <w:bookmarkStart w:id="35" w:name="cross-discipline-consistency-validator"/>
    <w:p>
      <w:pPr>
        <w:pStyle w:val="Heading3"/>
      </w:pPr>
      <w:r>
        <w:t xml:space="preserve">5.3 Cross-Discipline Consistency Validator</w:t>
      </w:r>
    </w:p>
    <w:p>
      <w:pPr>
        <w:pStyle w:val="FirstParagraph"/>
      </w:pPr>
      <w:r>
        <w:t xml:space="preserve">The cross-discipline validator (</w:t>
      </w:r>
      <w:r>
        <w:rPr>
          <w:rStyle w:val="VerbatimChar"/>
        </w:rPr>
        <w:t xml:space="preserve">src/cross_discipline/validator.py</w:t>
      </w:r>
      <w:r>
        <w:t xml:space="preserve">) performs coupling checks across</w:t>
      </w:r>
      <w:r>
        <w:t xml:space="preserve"> </w:t>
      </w:r>
      <w:r>
        <w:rPr>
          <w:b/>
          <w:bCs/>
        </w:rPr>
        <w:t xml:space="preserve">ten predefined domain pairs</w:t>
      </w:r>
      <w:r>
        <w:t xml:space="preserve">,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w:t>
      </w:r>
      <w:r>
        <w:t xml:space="preserve"> </w:t>
      </w:r>
      <w:r>
        <w:rPr>
          <w:rStyle w:val="VerbatimChar"/>
        </w:rPr>
        <w:t xml:space="preserve">docs/specs/MASTER_ORCHESTRATOR_SPEC_V0.1.md</w:t>
      </w:r>
      <w:r>
        <w:t xml:space="preserve">. Extension to additional pairs is deferred to future work.</w:t>
      </w:r>
    </w:p>
    <w:p>
      <w:pPr>
        <w:pStyle w:val="CaptionedFigure"/>
      </w:pPr>
      <w: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3" name="Picture"/>
            <a:graphic>
              <a:graphicData uri="http://schemas.openxmlformats.org/drawingml/2006/picture">
                <pic:pic>
                  <pic:nvPicPr>
                    <pic:cNvPr descr="figures/fig_3_cross_discipline.png" id="34" name="Picture"/>
                    <pic:cNvPicPr>
                      <a:picLocks noChangeArrowheads="1" noChangeAspect="1"/>
                    </pic:cNvPicPr>
                  </pic:nvPicPr>
                  <pic:blipFill>
                    <a:blip r:embed="rId32"/>
                    <a:stretch>
                      <a:fillRect/>
                    </a:stretch>
                  </pic:blipFill>
                  <pic:spPr bwMode="auto">
                    <a:xfrm>
                      <a:off x="0" y="0"/>
                      <a:ext cx="5334000" cy="4844417"/>
                    </a:xfrm>
                    <a:prstGeom prst="rect">
                      <a:avLst/>
                    </a:prstGeom>
                    <a:noFill/>
                    <a:ln w="9525">
                      <a:noFill/>
                      <a:headEnd/>
                      <a:tailEnd/>
                    </a:ln>
                  </pic:spPr>
                </pic:pic>
              </a:graphicData>
            </a:graphic>
          </wp:inline>
        </w:drawing>
      </w:r>
    </w:p>
    <w:p>
      <w:pPr>
        <w:pStyle w:val="ImageCaption"/>
      </w:pPr>
      <w:r>
        <w:t xml:space="preserve">Figure 3. Cross-discipline coupling logic: ten predefined domain pairs (piping-vessel, electrical-rotating, civil-rotating, instrumentation-electrical, etc.), trigger conditions, and downstream effect of a coupling-block decision on the orchestration pipeline.</w:t>
      </w:r>
    </w:p>
    <w:bookmarkEnd w:id="35"/>
    <w:bookmarkStart w:id="36" w:name="X277b93143ee5153eebad0708a65badeefbca556"/>
    <w:p>
      <w:pPr>
        <w:pStyle w:val="Heading3"/>
      </w:pPr>
      <w:r>
        <w:t xml:space="preserve">5.4 Why three paths and a 1% tolerance? — K-voting design rationale</w:t>
      </w:r>
    </w:p>
    <w:p>
      <w:pPr>
        <w:pStyle w:val="FirstParagraph"/>
      </w:pPr>
      <w:r>
        <w:t xml:space="preserve">Three K-voting design choices warrant explicit justification: the</w:t>
      </w:r>
      <w:r>
        <w:t xml:space="preserve"> </w:t>
      </w:r>
      <w:r>
        <w:rPr>
          <w:b/>
          <w:bCs/>
        </w:rPr>
        <w:t xml:space="preserve">number of paths</w:t>
      </w:r>
      <w:r>
        <w:t xml:space="preserve">, the</w:t>
      </w:r>
      <w:r>
        <w:t xml:space="preserve"> </w:t>
      </w:r>
      <w:r>
        <w:rPr>
          <w:b/>
          <w:bCs/>
        </w:rPr>
        <w:t xml:space="preserve">tolerance</w:t>
      </w:r>
      <w:r>
        <w:t xml:space="preserve">, and the</w:t>
      </w:r>
      <w:r>
        <w:t xml:space="preserve"> </w:t>
      </w:r>
      <w:r>
        <w:rPr>
          <w:b/>
          <w:bCs/>
        </w:rPr>
        <w:t xml:space="preserve">scope</w:t>
      </w:r>
      <w:r>
        <w:t xml:space="preserve"> </w:t>
      </w:r>
      <w:r>
        <w:t xml:space="preserve">of independence.</w:t>
      </w:r>
    </w:p>
    <w:p>
      <w:pPr>
        <w:pStyle w:val="Body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p>
    <w:p>
      <w:pPr>
        <w:pStyle w:val="Body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A formal threshold-sensitivity sweep (e.g., 0.1% / 0.5% / 1% / 2% / 5% reporting no-consensus rate, false-consensus rate, and boundary-flip count) is left to future work.</w:t>
      </w:r>
    </w:p>
    <w:p>
      <w:pPr>
        <w:pStyle w:val="Body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that the layer’s scope and intent are unambiguous in the broader context of N-version programming [11].</w:t>
      </w:r>
    </w:p>
    <w:p>
      <w:r>
        <w:pict>
          <v:rect style="width:0;height:1.5pt" o:hralign="center" o:hrstd="t" o:hr="t"/>
        </w:pict>
      </w:r>
    </w:p>
    <w:bookmarkEnd w:id="36"/>
    <w:bookmarkEnd w:id="37"/>
    <w:bookmarkStart w:id="55" w:name="experiments-and-evaluation"/>
    <w:p>
      <w:pPr>
        <w:pStyle w:val="Heading2"/>
      </w:pPr>
      <w:r>
        <w:t xml:space="preserve">6. Experiments and Evaluation</w:t>
      </w:r>
    </w:p>
    <w:p>
      <w:pPr>
        <w:pStyle w:val="FirstParagraph"/>
      </w:pPr>
      <w:r>
        <w:t xml:space="preserve">The evaluation programme comprises seven analyses: (6.1) calculation-accuracy verification on the golden dataset, framed as</w:t>
      </w:r>
      <w:r>
        <w:t xml:space="preserve"> </w:t>
      </w:r>
      <w:r>
        <w:rPr>
          <w:b/>
          <w:bCs/>
        </w:rPr>
        <w:t xml:space="preserve">implementation verification, not predictive validation</w:t>
      </w:r>
      <w:r>
        <w:t xml:space="preserve">; (6.2) end-to-end pipeline behaviour; (6.3) cross-discipline ablation for RQ1; (6.4) KOSHA RAG case studies for RQ2; (6.5) curated retrieval benchmark; (6.6) industry-baseline comparison and internal four-layer ablation; (6.7) citation-traceability and negative-case evidence.</w:t>
      </w:r>
    </w:p>
    <w:bookmarkStart w:id="38" w:name="X2aee7f63a168e529a118604bfa3005e861d688e"/>
    <w:p>
      <w:pPr>
        <w:pStyle w:val="Heading3"/>
      </w:pPr>
      <w:r>
        <w:t xml:space="preserve">6.1 Calculation Accuracy on the Golden Dataset (implementation verification)</w:t>
      </w:r>
    </w:p>
    <w:p>
      <w:pPr>
        <w:pStyle w:val="FirstParagraph"/>
      </w:pPr>
      <w:r>
        <w:t xml:space="preserve">A total of</w:t>
      </w:r>
      <w:r>
        <w:t xml:space="preserve"> </w:t>
      </w:r>
      <w:r>
        <w:rPr>
          <w:b/>
          <w:bCs/>
        </w:rPr>
        <w:t xml:space="preserve">220 synthetic golden cases</w:t>
      </w:r>
      <w:r>
        <w:t xml:space="preserve"> </w:t>
      </w:r>
      <w:r>
        <w:t xml:space="preserve">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w:t>
      </w:r>
      <w:r>
        <w:t xml:space="preserve"> </w:t>
      </w:r>
      <w:r>
        <w:rPr>
          <w:b/>
          <w:bCs/>
        </w:rPr>
        <w:t xml:space="preserve">systematic parameter perturbation</w:t>
      </w:r>
      <w:r>
        <w:t xml:space="preserve"> </w:t>
      </w:r>
      <w:r>
        <w:t xml:space="preserve">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w:t>
      </w:r>
      <w:r>
        <w:t xml:space="preserve"> </w:t>
      </w:r>
      <w:r>
        <w:rPr>
          <w:b/>
          <w:bCs/>
        </w:rPr>
        <w:t xml:space="preserve">220/220 case passes across all seven disciplines</w:t>
      </w:r>
      <w:r>
        <w:t xml:space="preserve"> </w:t>
      </w:r>
      <w:r>
        <w:t xml:space="preserve">(</w:t>
      </w:r>
      <w:r>
        <w:rPr>
          <w:rStyle w:val="VerbatimChar"/>
        </w:rPr>
        <w:t xml:space="preserve">outputs/verification_report_runtime.md</w:t>
      </w:r>
      <w:r>
        <w:t xml:space="preserve">); accuracy, citation accuracy, and red-flag detection rate were each recorded at</w:t>
      </w:r>
      <w:r>
        <w:t xml:space="preserve"> </w:t>
      </w:r>
      <w:r>
        <w:rPr>
          <w:b/>
          <w:bCs/>
        </w:rPr>
        <w:t xml:space="preserve">1.0000</w:t>
      </w:r>
      <w:r>
        <w:t xml:space="preserve">.</w:t>
      </w:r>
    </w:p>
    <w:p>
      <w:pPr>
        <w:pStyle w:val="BodyText"/>
      </w:pPr>
      <w:r>
        <w:t xml:space="preserve">We deliberately frame these results as</w:t>
      </w:r>
      <w:r>
        <w:t xml:space="preserve"> </w:t>
      </w:r>
      <w:r>
        <w:rPr>
          <w:b/>
          <w:bCs/>
        </w:rPr>
        <w:t xml:space="preserve">implementation verification, not predictive validation</w:t>
      </w:r>
      <w: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odyText"/>
      </w:pPr>
      <w:r>
        <w:rPr>
          <w:b/>
          <w:bCs/>
        </w:rPr>
        <w:t xml:space="preserve">Table 2. Golden Dataset Composition by Discipline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Discipline</w:t>
            </w:r>
          </w:p>
        </w:tc>
        <w:tc>
          <w:tcPr/>
          <w:p>
            <w:pPr>
              <w:pStyle w:val="Compact"/>
              <w:jc w:val="right"/>
            </w:pPr>
            <w:r>
              <w:t xml:space="preserve">Standard cases</w:t>
            </w:r>
          </w:p>
        </w:tc>
        <w:tc>
          <w:tcPr/>
          <w:p>
            <w:pPr>
              <w:pStyle w:val="Compact"/>
              <w:jc w:val="right"/>
            </w:pPr>
            <w:r>
              <w:t xml:space="preserve">Boundary cases</w:t>
            </w:r>
          </w:p>
        </w:tc>
        <w:tc>
          <w:tcPr/>
          <w:p>
            <w:pPr>
              <w:pStyle w:val="Compact"/>
              <w:jc w:val="right"/>
            </w:pPr>
            <w:r>
              <w:t xml:space="preserve">Failure cases</w:t>
            </w:r>
          </w:p>
        </w:tc>
        <w:tc>
          <w:tcPr/>
          <w:p>
            <w:pPr>
              <w:pStyle w:val="Compact"/>
              <w:jc w:val="right"/>
            </w:pPr>
            <w:r>
              <w:t xml:space="preserve">Composite cases</w:t>
            </w:r>
          </w:p>
        </w:tc>
        <w:tc>
          <w:tcPr/>
          <w:p>
            <w:pPr>
              <w:pStyle w:val="Compact"/>
              <w:jc w:val="right"/>
            </w:pPr>
            <w:r>
              <w:t xml:space="preserve">Total</w:t>
            </w:r>
          </w:p>
        </w:tc>
      </w:tr>
      <w:tr>
        <w:tc>
          <w:tcPr/>
          <w:p>
            <w:pPr>
              <w:pStyle w:val="Compact"/>
            </w:pPr>
            <w:r>
              <w:t xml:space="preserve">Piping</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50</w:t>
            </w:r>
          </w:p>
        </w:tc>
      </w:tr>
      <w:tr>
        <w:tc>
          <w:tcPr/>
          <w:p>
            <w:pPr>
              <w:pStyle w:val="Compact"/>
            </w:pPr>
            <w:r>
              <w:t xml:space="preserve">Vessel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Rotating</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Electrical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Instrumentation</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Steel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t xml:space="preserve">Civil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rPr>
                <w:b/>
                <w:bCs/>
              </w:rPr>
              <w:t xml:space="preserve">Total</w:t>
            </w:r>
          </w:p>
        </w:tc>
        <w:tc>
          <w:tcPr/>
          <w:p>
            <w:pPr>
              <w:pStyle w:val="Compact"/>
              <w:jc w:val="right"/>
            </w:pPr>
            <w:r>
              <w:rPr>
                <w:b/>
                <w:bCs/>
              </w:rPr>
              <w:t xml:space="preserve">122 (55%)</w:t>
            </w:r>
          </w:p>
        </w:tc>
        <w:tc>
          <w:tcPr/>
          <w:p>
            <w:pPr>
              <w:pStyle w:val="Compact"/>
              <w:jc w:val="right"/>
            </w:pPr>
            <w:r>
              <w:rPr>
                <w:b/>
                <w:bCs/>
              </w:rPr>
              <w:t xml:space="preserve">55 (25%)</w:t>
            </w:r>
          </w:p>
        </w:tc>
        <w:tc>
          <w:tcPr/>
          <w:p>
            <w:pPr>
              <w:pStyle w:val="Compact"/>
              <w:jc w:val="right"/>
            </w:pPr>
            <w:r>
              <w:rPr>
                <w:b/>
                <w:bCs/>
              </w:rPr>
              <w:t xml:space="preserve">38 (17%)</w:t>
            </w:r>
          </w:p>
        </w:tc>
        <w:tc>
          <w:tcPr/>
          <w:p>
            <w:pPr>
              <w:pStyle w:val="Compact"/>
              <w:jc w:val="right"/>
            </w:pPr>
            <w:r>
              <w:rPr>
                <w:b/>
                <w:bCs/>
              </w:rPr>
              <w:t xml:space="preserve">5 (2%)</w:t>
            </w:r>
          </w:p>
        </w:tc>
        <w:tc>
          <w:tcPr/>
          <w:p>
            <w:pPr>
              <w:pStyle w:val="Compact"/>
              <w:jc w:val="right"/>
            </w:pPr>
            <w:r>
              <w:rPr>
                <w:b/>
                <w:bCs/>
              </w:rPr>
              <w:t xml:space="preserve">220</w:t>
            </w:r>
          </w:p>
        </w:tc>
      </w:tr>
    </w:tbl>
    <w:p>
      <w:pPr>
        <w:pStyle w:val="BodyText"/>
      </w:pPr>
      <w:r>
        <w:rPr>
          <w:b/>
          <w:bCs/>
        </w:rPr>
        <w:t xml:space="preserve">Synthetic data — defence and precedent.</w:t>
      </w:r>
      <w:r>
        <w:t xml:space="preserve"> </w:t>
      </w:r>
      <w:r>
        <w:t xml:space="preserve">A synthetic-data evaluation invites the concern that the evaluator finds what the system was designed to find. Three properties limit that concern in this study. The test cases are</w:t>
      </w:r>
      <w:r>
        <w:t xml:space="preserve"> </w:t>
      </w:r>
      <w:r>
        <w:rPr>
          <w:i/>
          <w:iCs/>
        </w:rPr>
        <w:t xml:space="preserve">inverted</w:t>
      </w:r>
      <w:r>
        <w:t xml:space="preserve"> </w:t>
      </w:r>
      <w:r>
        <w:t xml:space="preserve">from the regulatory and standards text — each KOSHA RAG target was selected by reading the actual KOSHA clause first and then constructing a calculation context that should trigger it, so the detection grounds in real regulatory obligations even though the calc inputs are constructed. This construction pattern is established practice in safety-critical AI evaluation, including medical-AI synthetic patient cohorts with known ground-truth labels and simulated-scenario validation of autonomous-vehicle systems prior to public-road deployment. The evaluation is positioned as a</w:t>
      </w:r>
      <w:r>
        <w:t xml:space="preserve"> </w:t>
      </w:r>
      <w:r>
        <w:rPr>
          <w:b/>
          <w:bCs/>
        </w:rPr>
        <w:t xml:space="preserve">feasibility study</w:t>
      </w:r>
      <w:r>
        <w:t xml:space="preserve"> </w:t>
      </w:r>
      <w:r>
        <w:t xml:space="preserve">for the integration of calc + cross-discipline + KOSHA RAG; field validation against plant data is explicit future work.</w:t>
      </w:r>
    </w:p>
    <w:p>
      <w:pPr>
        <w:pStyle w:val="BodyText"/>
      </w:pPr>
      <w:r>
        <w:rPr>
          <w:b/>
          <w:bCs/>
        </w:rPr>
        <w:t xml:space="preserve">Benchmark construction independence — known limitation.</w:t>
      </w:r>
      <w:r>
        <w:t xml:space="preserve"> </w:t>
      </w:r>
      <w:r>
        <w:t xml:space="preserve">All synthetic case datasets in this paper (220 golden cases per §6.1, 60 cross-discipline scenarios per §6.3,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w:t>
      </w:r>
    </w:p>
    <w:bookmarkEnd w:id="38"/>
    <w:bookmarkStart w:id="39" w:name="seven-discipline-pipeline-evaluation"/>
    <w:p>
      <w:pPr>
        <w:pStyle w:val="Heading3"/>
      </w:pPr>
      <w:r>
        <w:t xml:space="preserve">6.2 Seven-Discipline Pipeline Evaluation</w:t>
      </w:r>
    </w:p>
    <w:p>
      <w:pPr>
        <w:pStyle w:val="FirstParagraph"/>
      </w:pPr>
      <w: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w:t>
      </w:r>
      <w:r>
        <w:t xml:space="preserve"> </w:t>
      </w:r>
      <w:r>
        <w:rPr>
          <w:rStyle w:val="VerbatimChar"/>
        </w:rPr>
        <w:t xml:space="preserve">outputs/seven_pipeline_report.md</w:t>
      </w:r>
      <w:r>
        <w:t xml:space="preserve">, generated by</w:t>
      </w:r>
      <w:r>
        <w:t xml:space="preserve"> </w:t>
      </w:r>
      <w:r>
        <w:rPr>
          <w:rStyle w:val="VerbatimChar"/>
        </w:rPr>
        <w:t xml:space="preserve">scripts/benchmark_seven_pipeline.py</w:t>
      </w:r>
      <w:r>
        <w:t xml:space="preserve"> </w:t>
      </w:r>
      <w:r>
        <w:t xml:space="preserve">over the seven</w:t>
      </w:r>
      <w:r>
        <w:t xml:space="preserve"> </w:t>
      </w:r>
      <w:r>
        <w:rPr>
          <w:rStyle w:val="VerbatimChar"/>
        </w:rPr>
        <w:t xml:space="preserve">datasets/golden_standards/*_golden_dataset_v1.json</w:t>
      </w:r>
      <w:r>
        <w:t xml:space="preserve"> </w:t>
      </w:r>
      <w:r>
        <w:t xml:space="preserve">files; this 43-scenario set measures end-to-end pipeline behaviour and is</w:t>
      </w:r>
      <w:r>
        <w:t xml:space="preserve"> </w:t>
      </w:r>
      <w:r>
        <w:rPr>
          <w:b/>
          <w:bCs/>
        </w:rPr>
        <w:t xml:space="preserve">distinct from</w:t>
      </w:r>
      <w:r>
        <w:t xml:space="preserve"> </w:t>
      </w:r>
      <w:r>
        <w:t xml:space="preserve">the 60-scenario cross-discipline ablation set of §6.3, which is constructed by</w:t>
      </w:r>
      <w:r>
        <w:t xml:space="preserve"> </w:t>
      </w:r>
      <w:r>
        <w:rPr>
          <w:rStyle w:val="VerbatimChar"/>
        </w:rPr>
        <w:t xml:space="preserve">scripts/benchmark_cross_discipline_ablation.py</w:t>
      </w:r>
      <w:r>
        <w:t xml:space="preserve"> </w:t>
      </w:r>
      <w:r>
        <w:t xml:space="preserve">via the</w:t>
      </w:r>
      <w:r>
        <w:t xml:space="preserve"> </w:t>
      </w:r>
      <w:r>
        <w:rPr>
          <w:rStyle w:val="VerbatimChar"/>
        </w:rPr>
        <w:t xml:space="preserve">aligned_*</w:t>
      </w:r>
      <w:r>
        <w:t xml:space="preserve"> </w:t>
      </w:r>
      <w:r>
        <w:t xml:space="preserve">and</w:t>
      </w:r>
      <w:r>
        <w:t xml:space="preserve"> </w:t>
      </w:r>
      <w:r>
        <w:rPr>
          <w:rStyle w:val="VerbatimChar"/>
        </w:rPr>
        <w:t xml:space="preserve">mixed_*</w:t>
      </w:r>
      <w:r>
        <w:t xml:space="preserve"> </w:t>
      </w:r>
      <w:r>
        <w:t xml:space="preserve">index builders against the same underlying golden datasets.)</w:t>
      </w:r>
    </w:p>
    <w:bookmarkEnd w:id="39"/>
    <w:bookmarkStart w:id="43" w:name="cross-discipline-validator-ablation-rq1"/>
    <w:p>
      <w:pPr>
        <w:pStyle w:val="Heading3"/>
      </w:pPr>
      <w:r>
        <w:t xml:space="preserve">6.3 Cross-Discipline Validator Ablation (RQ1)</w:t>
      </w:r>
    </w:p>
    <w:p>
      <w:pPr>
        <w:pStyle w:val="FirstParagraph"/>
      </w:pPr>
      <w:r>
        <w:t xml:space="preserve">To quantify the incremental contribution of cross-discipline coupling logic, we evaluated the same 60 benchmark scenarios with the cross-discipline validator disabled and enabled (</w:t>
      </w:r>
      <w:r>
        <w:rPr>
          <w:rStyle w:val="VerbatimChar"/>
        </w:rPr>
        <w:t xml:space="preserve">outputs/cross_discipline_ablation_report.md</w:t>
      </w:r>
      <w:r>
        <w:t xml:space="preserve">). With the validator disabled,</w:t>
      </w:r>
      <w:r>
        <w:t xml:space="preserve"> </w:t>
      </w:r>
      <w:r>
        <w:rPr>
          <w:b/>
          <w:bCs/>
        </w:rPr>
        <w:t xml:space="preserve">0/60 scenarios were blocked</w:t>
      </w:r>
      <w:r>
        <w:t xml:space="preserve">. With the validator enabled,</w:t>
      </w:r>
      <w:r>
        <w:t xml:space="preserve"> </w:t>
      </w:r>
      <w:r>
        <w:rPr>
          <w:b/>
          <w:bCs/>
        </w:rPr>
        <w:t xml:space="preserve">26/60 scenarios were blocked</w:t>
      </w:r>
      <w:r>
        <w:t xml:space="preserve">, an absolute increase of +26 and a blocking-ratio increase of +0.4333. The most informative subsets are aligned boundary and aligned failure, where blocking rises from 0.0 to 1.0 in both cases. Mixed scenarios also show non-trivial deltas:</w:t>
      </w:r>
      <w:r>
        <w:t xml:space="preserve"> </w:t>
      </w:r>
      <w:r>
        <w:rPr>
          <w:rStyle w:val="VerbatimChar"/>
        </w:rPr>
        <w:t xml:space="preserve">mixed_first20</w:t>
      </w:r>
      <w:r>
        <w:t xml:space="preserve"> </w:t>
      </w:r>
      <w:r>
        <w:t xml:space="preserve">rises from 0.0 to 0.15, and</w:t>
      </w:r>
      <w:r>
        <w:t xml:space="preserve"> </w:t>
      </w:r>
      <w:r>
        <w:rPr>
          <w:rStyle w:val="VerbatimChar"/>
        </w:rPr>
        <w:t xml:space="preserve">mixed_random20</w:t>
      </w:r>
      <w:r>
        <w:t xml:space="preserve"> </w:t>
      </w:r>
      <w:r>
        <w:t xml:space="preserve">rises from 0.0 to 0.65.</w:t>
      </w:r>
    </w:p>
    <w:p>
      <w:pPr>
        <w:pStyle w:val="BodyText"/>
      </w:pPr>
      <w:r>
        <w:rPr>
          <w:b/>
          <w:bCs/>
        </w:rPr>
        <w:t xml:space="preserve">Table 3. Cross-Discipline Validator Ablation (RQ1)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Scenario Set</w:t>
            </w:r>
          </w:p>
        </w:tc>
        <w:tc>
          <w:tcPr/>
          <w:p>
            <w:pPr>
              <w:pStyle w:val="Compact"/>
              <w:jc w:val="right"/>
            </w:pPr>
            <w:r>
              <w:t xml:space="preserve">Validator OFF</w:t>
            </w:r>
          </w:p>
        </w:tc>
        <w:tc>
          <w:tcPr/>
          <w:p>
            <w:pPr>
              <w:pStyle w:val="Compact"/>
              <w:jc w:val="right"/>
            </w:pPr>
            <w:r>
              <w:t xml:space="preserve">Validator ON</w:t>
            </w:r>
          </w:p>
        </w:tc>
        <w:tc>
          <w:tcPr/>
          <w:p>
            <w:pPr>
              <w:pStyle w:val="Compact"/>
              <w:jc w:val="right"/>
            </w:pPr>
            <w:r>
              <w:t xml:space="preserve">Absolute Delta</w:t>
            </w:r>
          </w:p>
        </w:tc>
        <w:tc>
          <w:tcPr/>
          <w:p>
            <w:pPr>
              <w:pStyle w:val="Compact"/>
              <w:jc w:val="right"/>
            </w:pPr>
            <w:r>
              <w:t xml:space="preserve">Ratio Delta</w:t>
            </w:r>
          </w:p>
        </w:tc>
      </w:tr>
      <w:tr>
        <w:tc>
          <w:tcPr/>
          <w:p>
            <w:pPr>
              <w:pStyle w:val="Compact"/>
            </w:pPr>
            <w:r>
              <w:t xml:space="preserve">aligned_standard</w:t>
            </w:r>
          </w:p>
        </w:tc>
        <w:tc>
          <w:tcPr/>
          <w:p>
            <w:pPr>
              <w:pStyle w:val="Compact"/>
              <w:jc w:val="right"/>
            </w:pPr>
            <w:r>
              <w:t xml:space="preserve">0 / 10</w:t>
            </w:r>
          </w:p>
        </w:tc>
        <w:tc>
          <w:tcPr/>
          <w:p>
            <w:pPr>
              <w:pStyle w:val="Compact"/>
              <w:jc w:val="right"/>
            </w:pPr>
            <w:r>
              <w:t xml:space="preserve">0 / 10</w:t>
            </w:r>
          </w:p>
        </w:tc>
        <w:tc>
          <w:tcPr/>
          <w:p>
            <w:pPr>
              <w:pStyle w:val="Compact"/>
              <w:jc w:val="right"/>
            </w:pPr>
            <w:r>
              <w:t xml:space="preserve">+0</w:t>
            </w:r>
          </w:p>
        </w:tc>
        <w:tc>
          <w:tcPr/>
          <w:p>
            <w:pPr>
              <w:pStyle w:val="Compact"/>
              <w:jc w:val="right"/>
            </w:pPr>
            <w:r>
              <w:t xml:space="preserve">+0.00</w:t>
            </w:r>
          </w:p>
        </w:tc>
      </w:tr>
      <w:tr>
        <w:tc>
          <w:tcPr/>
          <w:p>
            <w:pPr>
              <w:pStyle w:val="Compact"/>
            </w:pPr>
            <w:r>
              <w:t xml:space="preserve">aligned_boundary</w:t>
            </w:r>
          </w:p>
        </w:tc>
        <w:tc>
          <w:tcPr/>
          <w:p>
            <w:pPr>
              <w:pStyle w:val="Compact"/>
              <w:jc w:val="right"/>
            </w:pPr>
            <w:r>
              <w:t xml:space="preserve">0 / 6</w:t>
            </w:r>
          </w:p>
        </w:tc>
        <w:tc>
          <w:tcPr/>
          <w:p>
            <w:pPr>
              <w:pStyle w:val="Compact"/>
              <w:jc w:val="right"/>
            </w:pPr>
            <w:r>
              <w:t xml:space="preserve">6 / 6</w:t>
            </w:r>
          </w:p>
        </w:tc>
        <w:tc>
          <w:tcPr/>
          <w:p>
            <w:pPr>
              <w:pStyle w:val="Compact"/>
              <w:jc w:val="right"/>
            </w:pPr>
            <w:r>
              <w:t xml:space="preserve">+6</w:t>
            </w:r>
          </w:p>
        </w:tc>
        <w:tc>
          <w:tcPr/>
          <w:p>
            <w:pPr>
              <w:pStyle w:val="Compact"/>
              <w:jc w:val="right"/>
            </w:pPr>
            <w:r>
              <w:t xml:space="preserve">+1.00</w:t>
            </w:r>
          </w:p>
        </w:tc>
      </w:tr>
      <w:tr>
        <w:tc>
          <w:tcPr/>
          <w:p>
            <w:pPr>
              <w:pStyle w:val="Compact"/>
            </w:pPr>
            <w:r>
              <w:t xml:space="preserve">aligned_failure</w:t>
            </w:r>
          </w:p>
        </w:tc>
        <w:tc>
          <w:tcPr/>
          <w:p>
            <w:pPr>
              <w:pStyle w:val="Compact"/>
              <w:jc w:val="right"/>
            </w:pPr>
            <w:r>
              <w:t xml:space="preserve">0 / 4</w:t>
            </w:r>
          </w:p>
        </w:tc>
        <w:tc>
          <w:tcPr/>
          <w:p>
            <w:pPr>
              <w:pStyle w:val="Compact"/>
              <w:jc w:val="right"/>
            </w:pPr>
            <w:r>
              <w:t xml:space="preserve">4 / 4</w:t>
            </w:r>
          </w:p>
        </w:tc>
        <w:tc>
          <w:tcPr/>
          <w:p>
            <w:pPr>
              <w:pStyle w:val="Compact"/>
              <w:jc w:val="right"/>
            </w:pPr>
            <w:r>
              <w:t xml:space="preserve">+4</w:t>
            </w:r>
          </w:p>
        </w:tc>
        <w:tc>
          <w:tcPr/>
          <w:p>
            <w:pPr>
              <w:pStyle w:val="Compact"/>
              <w:jc w:val="right"/>
            </w:pPr>
            <w:r>
              <w:t xml:space="preserve">+1.00</w:t>
            </w:r>
          </w:p>
        </w:tc>
      </w:tr>
      <w:tr>
        <w:tc>
          <w:tcPr/>
          <w:p>
            <w:pPr>
              <w:pStyle w:val="Compact"/>
            </w:pPr>
            <w:r>
              <w:t xml:space="preserve">mixed_first20</w:t>
            </w:r>
          </w:p>
        </w:tc>
        <w:tc>
          <w:tcPr/>
          <w:p>
            <w:pPr>
              <w:pStyle w:val="Compact"/>
              <w:jc w:val="right"/>
            </w:pPr>
            <w:r>
              <w:t xml:space="preserve">0 / 20</w:t>
            </w:r>
          </w:p>
        </w:tc>
        <w:tc>
          <w:tcPr/>
          <w:p>
            <w:pPr>
              <w:pStyle w:val="Compact"/>
              <w:jc w:val="right"/>
            </w:pPr>
            <w:r>
              <w:t xml:space="preserve">3 / 20</w:t>
            </w:r>
          </w:p>
        </w:tc>
        <w:tc>
          <w:tcPr/>
          <w:p>
            <w:pPr>
              <w:pStyle w:val="Compact"/>
              <w:jc w:val="right"/>
            </w:pPr>
            <w:r>
              <w:t xml:space="preserve">+3</w:t>
            </w:r>
          </w:p>
        </w:tc>
        <w:tc>
          <w:tcPr/>
          <w:p>
            <w:pPr>
              <w:pStyle w:val="Compact"/>
              <w:jc w:val="right"/>
            </w:pPr>
            <w:r>
              <w:t xml:space="preserve">+0.15</w:t>
            </w:r>
          </w:p>
        </w:tc>
      </w:tr>
      <w:tr>
        <w:tc>
          <w:tcPr/>
          <w:p>
            <w:pPr>
              <w:pStyle w:val="Compact"/>
            </w:pPr>
            <w:r>
              <w:t xml:space="preserve">mixed_random20</w:t>
            </w:r>
          </w:p>
        </w:tc>
        <w:tc>
          <w:tcPr/>
          <w:p>
            <w:pPr>
              <w:pStyle w:val="Compact"/>
              <w:jc w:val="right"/>
            </w:pPr>
            <w:r>
              <w:t xml:space="preserve">0 / 20</w:t>
            </w:r>
          </w:p>
        </w:tc>
        <w:tc>
          <w:tcPr/>
          <w:p>
            <w:pPr>
              <w:pStyle w:val="Compact"/>
              <w:jc w:val="right"/>
            </w:pPr>
            <w:r>
              <w:t xml:space="preserve">13 / 20</w:t>
            </w:r>
          </w:p>
        </w:tc>
        <w:tc>
          <w:tcPr/>
          <w:p>
            <w:pPr>
              <w:pStyle w:val="Compact"/>
              <w:jc w:val="right"/>
            </w:pPr>
            <w:r>
              <w:t xml:space="preserve">+13</w:t>
            </w:r>
          </w:p>
        </w:tc>
        <w:tc>
          <w:tcPr/>
          <w:p>
            <w:pPr>
              <w:pStyle w:val="Compact"/>
              <w:jc w:val="right"/>
            </w:pPr>
            <w:r>
              <w:t xml:space="preserve">+0.65</w:t>
            </w:r>
          </w:p>
        </w:tc>
      </w:tr>
      <w:tr>
        <w:tc>
          <w:tcPr/>
          <w:p>
            <w:pPr>
              <w:pStyle w:val="Compact"/>
            </w:pPr>
            <w:r>
              <w:rPr>
                <w:b/>
                <w:bCs/>
              </w:rPr>
              <w:t xml:space="preserve">Overall</w:t>
            </w:r>
          </w:p>
        </w:tc>
        <w:tc>
          <w:tcPr/>
          <w:p>
            <w:pPr>
              <w:pStyle w:val="Compact"/>
              <w:jc w:val="right"/>
            </w:pPr>
            <w:r>
              <w:rPr>
                <w:b/>
                <w:bCs/>
              </w:rPr>
              <w:t xml:space="preserve">0 / 60</w:t>
            </w:r>
          </w:p>
        </w:tc>
        <w:tc>
          <w:tcPr/>
          <w:p>
            <w:pPr>
              <w:pStyle w:val="Compact"/>
              <w:jc w:val="right"/>
            </w:pPr>
            <w:r>
              <w:rPr>
                <w:b/>
                <w:bCs/>
              </w:rPr>
              <w:t xml:space="preserve">26 / 60</w:t>
            </w:r>
          </w:p>
        </w:tc>
        <w:tc>
          <w:tcPr/>
          <w:p>
            <w:pPr>
              <w:pStyle w:val="Compact"/>
              <w:jc w:val="right"/>
            </w:pPr>
            <w:r>
              <w:rPr>
                <w:b/>
                <w:bCs/>
              </w:rPr>
              <w:t xml:space="preserve">+26</w:t>
            </w:r>
          </w:p>
        </w:tc>
        <w:tc>
          <w:tcPr/>
          <w:p>
            <w:pPr>
              <w:pStyle w:val="Compact"/>
              <w:jc w:val="right"/>
            </w:pPr>
            <w:r>
              <w:rPr>
                <w:b/>
                <w:bCs/>
              </w:rPr>
              <w:t xml:space="preserve">+0.4333</w:t>
            </w:r>
          </w:p>
        </w:tc>
      </w:tr>
    </w:tbl>
    <w:p>
      <w:pPr>
        <w:pStyle w:val="CaptionedFigure"/>
      </w:pPr>
      <w: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1" name="Picture"/>
            <a:graphic>
              <a:graphicData uri="http://schemas.openxmlformats.org/drawingml/2006/picture">
                <pic:pic>
                  <pic:nvPicPr>
                    <pic:cNvPr descr="figures/fig_4_ablation.png" id="42" name="Picture"/>
                    <pic:cNvPicPr>
                      <a:picLocks noChangeArrowheads="1" noChangeAspect="1"/>
                    </pic:cNvPicPr>
                  </pic:nvPicPr>
                  <pic:blipFill>
                    <a:blip r:embed="rId40"/>
                    <a:stretch>
                      <a:fillRect/>
                    </a:stretch>
                  </pic:blipFill>
                  <pic:spPr bwMode="auto">
                    <a:xfrm>
                      <a:off x="0" y="0"/>
                      <a:ext cx="5334000" cy="3138223"/>
                    </a:xfrm>
                    <a:prstGeom prst="rect">
                      <a:avLst/>
                    </a:prstGeom>
                    <a:noFill/>
                    <a:ln w="9525">
                      <a:noFill/>
                      <a:headEnd/>
                      <a:tailEnd/>
                    </a:ln>
                  </pic:spPr>
                </pic:pic>
              </a:graphicData>
            </a:graphic>
          </wp:inline>
        </w:drawing>
      </w:r>
    </w:p>
    <w:p>
      <w:pPr>
        <w:pStyle w:val="ImageCaption"/>
      </w:pPr>
      <w: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ody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t xml:space="preserve">Other</w:t>
            </w:r>
          </w:p>
        </w:tc>
        <w:tc>
          <w:tcPr/>
          <w:p>
            <w:pPr>
              <w:pStyle w:val="Compact"/>
              <w:jc w:val="right"/>
            </w:pPr>
            <w:r>
              <w:t xml:space="preserve">0</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ody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p>
    <w:bookmarkEnd w:id="43"/>
    <w:bookmarkStart w:id="47" w:name="X6f8fa6fd9b09ef2b69a6b101f4ce900e2807929"/>
    <w:p>
      <w:pPr>
        <w:pStyle w:val="Heading3"/>
      </w:pPr>
      <w:r>
        <w:t xml:space="preserve">6.4 KOSHA RAG Regulatory Grounding — Three Cases (RQ2)</w:t>
      </w:r>
    </w:p>
    <w:p>
      <w:pPr>
        <w:pStyle w:val="FirstParagraph"/>
      </w:pPr>
      <w:r>
        <w:t xml:space="preserve">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bookmarkStart w:id="44" w:name="X803fa3e0a5e790a433a83f9e5aec711454182df"/>
    <w:p>
      <w:pPr>
        <w:pStyle w:val="Heading4"/>
      </w:pPr>
      <w:r>
        <w:t xml:space="preserve">Case 1 — Vessel Remaining Life (VES-GOLD-001)</w:t>
      </w:r>
    </w:p>
    <w:p>
      <w:pPr>
        <w:pStyle w:val="FirstParagraph"/>
      </w:pPr>
      <w:r>
        <w:t xml:space="preserve">For an SA-516-70 pressure vessel (design pressure 1.858 MPa, 217.3 °C, current thickness 44.82 mm), the calculation engine computes a required shell thickness of 14.99 mm under ASME Section VIII UG-27, a remaining life of</w:t>
      </w:r>
      <w:r>
        <w:t xml:space="preserve"> </w:t>
      </w:r>
      <w:r>
        <w:rPr>
          <w:b/>
          <w:bCs/>
        </w:rPr>
        <w:t xml:space="preserve">136.3 years</w:t>
      </w:r>
      <w:r>
        <w:t xml:space="preserve">, and an API 510 inspection interval of 10 years,</w:t>
      </w:r>
      <w:r>
        <w:t xml:space="preserve"> </w:t>
      </w:r>
      <w:r>
        <w:rPr>
          <w:b/>
          <w:bCs/>
        </w:rPr>
        <w:t xml:space="preserve">with no red flags raised</w:t>
      </w:r>
      <w:r>
        <w:t xml:space="preserve">. The KOSHA RAG layer retrieves</w:t>
      </w:r>
      <w:r>
        <w:t xml:space="preserve"> </w:t>
      </w:r>
      <w:r>
        <w:rPr>
          <w:b/>
          <w:bCs/>
        </w:rPr>
        <w:t xml:space="preserve">M-69-2012</w:t>
      </w:r>
      <w:r>
        <w:t xml:space="preserve"> </w:t>
      </w:r>
      <w:r>
        <w:t xml:space="preserve">(</w:t>
      </w:r>
      <w:r>
        <w:rPr>
          <w:i/>
          <w:iCs/>
        </w:rPr>
        <w:t xml:space="preserve">Technical Guideline for Remaining Life Assessment of Pressure Vessels</w:t>
      </w:r>
      <w:r>
        <w:t xml:space="preserve">) as the top-ranked passage and identifies documentation requirements that are triggered when remaining life exceeds a defined threshold — requirements absent from the engine’s output.</w:t>
      </w:r>
      <w:r>
        <w:t xml:space="preserve"> </w:t>
      </w:r>
      <w:r>
        <w:rPr>
          <w:b/>
          <w:bCs/>
        </w:rPr>
        <w:t xml:space="preserve">Why this matters:</w:t>
      </w:r>
      <w:r>
        <w:t xml:space="preserve"> </w:t>
      </w:r>
      <w:r>
        <w:t xml:space="preserve">even a</w:t>
      </w:r>
      <w:r>
        <w:t xml:space="preserve"> </w:t>
      </w:r>
      <w:r>
        <w:t xml:space="preserve">“very safe”</w:t>
      </w:r>
      <w:r>
        <w:t xml:space="preserve"> </w:t>
      </w:r>
      <w:r>
        <w:t xml:space="preserve">vessel under ASME triggers a KOSHA documentation obligation that, if skipped, exposes the operator to a PSM-audit finding.</w:t>
      </w:r>
    </w:p>
    <w:bookmarkEnd w:id="44"/>
    <w:bookmarkStart w:id="45" w:name="case-2-rbi-planning-ves-gold-009"/>
    <w:p>
      <w:pPr>
        <w:pStyle w:val="Heading4"/>
      </w:pPr>
      <w:r>
        <w:t xml:space="preserve">Case 2 — RBI Planning (VES-GOLD-009)</w:t>
      </w:r>
    </w:p>
    <w:p>
      <w:pPr>
        <w:pStyle w:val="FirstParagraph"/>
      </w:pPr>
      <w:r>
        <w:t xml:space="preserve">For a vessel with a remaining life of 40.2 years (SA-516-70, 1.891 MPa, 241.9 °C), the engine recommends a 10-year inspection interval per API 510. The KOSHA RAG layer retrieves</w:t>
      </w:r>
      <w:r>
        <w:t xml:space="preserve"> </w:t>
      </w:r>
      <w:r>
        <w:rPr>
          <w:b/>
          <w:bCs/>
        </w:rPr>
        <w:t xml:space="preserve">C-C-23-2026</w:t>
      </w:r>
      <w:r>
        <w:t xml:space="preserve"> </w:t>
      </w:r>
      <w:r>
        <w:t xml:space="preserve">(</w:t>
      </w:r>
      <w:r>
        <w:rPr>
          <w:i/>
          <w:iCs/>
        </w:rPr>
        <w:t xml:space="preserve">Technical Regulation for Equipment Reliability via Risk-Based Inspection</w:t>
      </w:r>
      <w:r>
        <w:t xml:space="preserve">) and</w:t>
      </w:r>
      <w:r>
        <w:t xml:space="preserve"> </w:t>
      </w:r>
      <w:r>
        <w:rPr>
          <w:b/>
          <w:bCs/>
        </w:rPr>
        <w:t xml:space="preserve">B-M-18-2026</w:t>
      </w:r>
      <w:r>
        <w:t xml:space="preserve"> </w:t>
      </w:r>
      <w:r>
        <w:t xml:space="preserve">(</w:t>
      </w:r>
      <w:r>
        <w:rPr>
          <w:i/>
          <w:iCs/>
        </w:rPr>
        <w:t xml:space="preserve">Technical Regulation for Piping Life Management</w:t>
      </w:r>
      <w:r>
        <w:t xml:space="preserve">), identifying the trigger conditions under which a mandatory RBI review must be initiated under the Korean PSM framework.</w:t>
      </w:r>
      <w:r>
        <w:t xml:space="preserve"> </w:t>
      </w:r>
      <w:r>
        <w:rPr>
          <w:b/>
          <w:bCs/>
        </w:rPr>
        <w:t xml:space="preserve">Why this matters:</w:t>
      </w:r>
      <w:r>
        <w:t xml:space="preserve"> </w:t>
      </w:r>
      <w:r>
        <w:t xml:space="preserve">API 510’s calendar-based interval can be longer than the KOSHA RBI trigger-driven interval; following only API 510 leaves an under-inspection gap.</w:t>
      </w:r>
    </w:p>
    <w:bookmarkEnd w:id="45"/>
    <w:bookmarkStart w:id="46" w:name="X915aea58546e41a81ecfb4d3fdd6349285e9562"/>
    <w:p>
      <w:pPr>
        <w:pStyle w:val="Heading4"/>
      </w:pPr>
      <w:r>
        <w:t xml:space="preserve">Case 3 — Piping Corrosion Compliance (PIP-GOLD-047)</w:t>
      </w:r>
    </w:p>
    <w:p>
      <w:pPr>
        <w:pStyle w:val="FirstParagraph"/>
      </w:pPr>
      <w:r>
        <w:t xml:space="preserve">For an SA-106 Gr.B carbon-steel line in sour-chloride service (7.804 MPa, 196 °C, 200 ppm Cl⁻), the engine reports a remaining life of 14.0 years</w:t>
      </w:r>
      <w:r>
        <w:t xml:space="preserve"> </w:t>
      </w:r>
      <w:r>
        <w:rPr>
          <w:b/>
          <w:bCs/>
        </w:rPr>
        <w:t xml:space="preserve">with no red flags raised</w:t>
      </w:r>
      <w:r>
        <w:t xml:space="preserve">. The KOSHA RAG layer retrieves, in ranked order,</w:t>
      </w:r>
      <w:r>
        <w:t xml:space="preserve"> </w:t>
      </w:r>
      <w:r>
        <w:rPr>
          <w:b/>
          <w:bCs/>
        </w:rPr>
        <w:t xml:space="preserve">B-M-18-2026</w:t>
      </w:r>
      <w:r>
        <w:t xml:space="preserve">,</w:t>
      </w:r>
      <w:r>
        <w:t xml:space="preserve"> </w:t>
      </w:r>
      <w:r>
        <w:rPr>
          <w:b/>
          <w:bCs/>
        </w:rPr>
        <w:t xml:space="preserve">Article 256 of the Rules on Occupational Safety and Health Standards</w:t>
      </w:r>
      <w:r>
        <w:t xml:space="preserve"> </w:t>
      </w:r>
      <w:r>
        <w:t xml:space="preserve">(</w:t>
      </w:r>
      <w:r>
        <w:rPr>
          <w:rStyle w:val="VerbatimChar"/>
        </w:rPr>
        <w:t xml:space="preserve">산업안전보건기준에 관한 규칙</w:t>
      </w:r>
      <w:r>
        <w:t xml:space="preserve"> </w:t>
      </w:r>
      <w:r>
        <w:t xml:space="preserve">— Corrosion Prevention Provision), and</w:t>
      </w:r>
      <w:r>
        <w:t xml:space="preserve"> </w:t>
      </w:r>
      <w:r>
        <w:rPr>
          <w:b/>
          <w:bCs/>
        </w:rPr>
        <w:t xml:space="preserve">C-C-75-2026</w:t>
      </w:r>
      <w:r>
        <w:t xml:space="preserve"> </w:t>
      </w:r>
      <w:r>
        <w:t xml:space="preserve">(</w:t>
      </w:r>
      <w:r>
        <w:rPr>
          <w:i/>
          <w:iCs/>
        </w:rPr>
        <w:t xml:space="preserve">Technical Regulation for Corrosion Risk Assessment of Chemical Equipment</w:t>
      </w:r>
      <w:r>
        <w:t xml:space="preserve">).</w:t>
      </w:r>
    </w:p>
    <w:p>
      <w:pPr>
        <w:pStyle w:val="BodyText"/>
      </w:pPr>
      <w:r>
        <w:t xml:space="preserve">Article 256 reads (verbatim, with the Korean original preserved):</w:t>
      </w:r>
    </w:p>
    <w:p>
      <w:pPr>
        <w:pStyle w:val="BlockText"/>
      </w:pPr>
      <w:r>
        <w:t xml:space="preserve">제256조(부식 방지) 사업주는 부식성 액체에 의하여 부식될 우려가 있는 부분의 부식을 방지하기 위하여 보온재로 피복하는 등 부식을 방지하기 위한 조치를 하여야 한다.</w:t>
      </w:r>
    </w:p>
    <w:p>
      <w:pPr>
        <w:pStyle w:val="BlockText"/>
      </w:pPr>
      <w:r>
        <w:rPr>
          <w:i/>
          <w:iCs/>
        </w:rPr>
        <w:t xml:space="preserve">English working translation:</w:t>
      </w:r>
      <w:r>
        <w:t xml:space="preserve"> </w:t>
      </w:r>
      <w:r>
        <w:t xml:space="preserve">Article 256 (Corrosion Prevention). The employer</w:t>
      </w:r>
      <w:r>
        <w:t xml:space="preserve"> </w:t>
      </w:r>
      <w:r>
        <w:rPr>
          <w:b/>
          <w:bCs/>
        </w:rPr>
        <w:t xml:space="preserve">shall</w:t>
      </w:r>
      <w:r>
        <w:t xml:space="preserve"> </w:t>
      </w:r>
      <w:r>
        <w:t xml:space="preserve">take measures to prevent corrosion — including, but not limited to, application of insulation/coating — at parts liable to corrosion by corrosive liquids.</w:t>
      </w:r>
    </w:p>
    <w:p>
      <w:pPr>
        <w:pStyle w:val="FirstParagraph"/>
      </w:pPr>
      <w:r>
        <w:t xml:space="preserve">The text shown above matches the body indexed in the system’s SQLite FTS5 store (</w:t>
      </w:r>
      <w:r>
        <w:rPr>
          <w:rStyle w:val="VerbatimChar"/>
        </w:rPr>
        <w:t xml:space="preserve">datasets/kosha_rag/kosha_local_rag.utf8.sqlite3</w:t>
      </w:r>
      <w:r>
        <w:t xml:space="preserve">); the indexed bodies are stored as correct UTF-8 (full-corpus encoding scan reported zero mojibake across 197,124 string fields, see</w:t>
      </w:r>
      <w:r>
        <w:t xml:space="preserve"> </w:t>
      </w:r>
      <w:r>
        <w:rPr>
          <w:rStyle w:val="VerbatimChar"/>
        </w:rPr>
        <w:t xml:space="preserve">outputs/kosha_encoding_diagnosis.md</w:t>
      </w:r>
      <w:r>
        <w:t xml:space="preserve">).</w:t>
      </w:r>
    </w:p>
    <w:p>
      <w:pPr>
        <w:pStyle w:val="BodyText"/>
      </w:pPr>
      <w:r>
        <w:t xml:space="preserve">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odyText"/>
      </w:pPr>
      <w:r>
        <w:rPr>
          <w:b/>
          <w:bCs/>
        </w:rPr>
        <w:t xml:space="preserve">Table 4. KOSHA RAG Incremental Coverage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Discipline</w:t>
            </w:r>
          </w:p>
        </w:tc>
        <w:tc>
          <w:tcPr/>
          <w:p>
            <w:pPr>
              <w:pStyle w:val="Compact"/>
            </w:pPr>
            <w:r>
              <w:t xml:space="preserve">Calc. Result</w:t>
            </w:r>
          </w:p>
        </w:tc>
        <w:tc>
          <w:tcPr/>
          <w:p>
            <w:pPr>
              <w:pStyle w:val="Compact"/>
            </w:pPr>
            <w:r>
              <w:t xml:space="preserve">Red Flags</w:t>
            </w:r>
          </w:p>
        </w:tc>
        <w:tc>
          <w:tcPr/>
          <w:p>
            <w:pPr>
              <w:pStyle w:val="Compact"/>
            </w:pPr>
            <w:r>
              <w:t xml:space="preserve">Top KOSHA RAG Retrieval</w:t>
            </w:r>
          </w:p>
        </w:tc>
      </w:tr>
      <w:tr>
        <w:tc>
          <w:tcPr/>
          <w:p>
            <w:pPr>
              <w:pStyle w:val="Compact"/>
            </w:pPr>
            <w:r>
              <w:t xml:space="preserve">VES-GOLD-001</w:t>
            </w:r>
          </w:p>
        </w:tc>
        <w:tc>
          <w:tcPr/>
          <w:p>
            <w:pPr>
              <w:pStyle w:val="Compact"/>
            </w:pPr>
            <w:r>
              <w:t xml:space="preserve">Vessel</w:t>
            </w:r>
          </w:p>
        </w:tc>
        <w:tc>
          <w:tcPr/>
          <w:p>
            <w:pPr>
              <w:pStyle w:val="Compact"/>
            </w:pPr>
            <w:r>
              <w:t xml:space="preserve">PASS (RL = 136.3 yr)</w:t>
            </w:r>
          </w:p>
        </w:tc>
        <w:tc>
          <w:tcPr/>
          <w:p>
            <w:pPr>
              <w:pStyle w:val="Compact"/>
            </w:pPr>
            <w:r>
              <w:t xml:space="preserve">None</w:t>
            </w:r>
          </w:p>
        </w:tc>
        <w:tc>
          <w:tcPr/>
          <w:p>
            <w:pPr>
              <w:pStyle w:val="Compact"/>
            </w:pPr>
            <w:r>
              <w:t xml:space="preserve">M-69-2012 (Remaining Life Evaluation)</w:t>
            </w:r>
          </w:p>
        </w:tc>
      </w:tr>
      <w:tr>
        <w:tc>
          <w:tcPr/>
          <w:p>
            <w:pPr>
              <w:pStyle w:val="Compact"/>
            </w:pPr>
            <w:r>
              <w:t xml:space="preserve">VES-GOLD-009</w:t>
            </w:r>
          </w:p>
        </w:tc>
        <w:tc>
          <w:tcPr/>
          <w:p>
            <w:pPr>
              <w:pStyle w:val="Compact"/>
            </w:pPr>
            <w:r>
              <w:t xml:space="preserve">Vessel</w:t>
            </w:r>
          </w:p>
        </w:tc>
        <w:tc>
          <w:tcPr/>
          <w:p>
            <w:pPr>
              <w:pStyle w:val="Compact"/>
            </w:pPr>
            <w:r>
              <w:t xml:space="preserve">PASS (RL = 40.2 yr)</w:t>
            </w:r>
          </w:p>
        </w:tc>
        <w:tc>
          <w:tcPr/>
          <w:p>
            <w:pPr>
              <w:pStyle w:val="Compact"/>
            </w:pPr>
            <w:r>
              <w:t xml:space="preserve">None</w:t>
            </w:r>
          </w:p>
        </w:tc>
        <w:tc>
          <w:tcPr/>
          <w:p>
            <w:pPr>
              <w:pStyle w:val="Compact"/>
            </w:pPr>
            <w:r>
              <w:t xml:space="preserve">C-C-23-2026 (RBI), B-M-18-2026</w:t>
            </w:r>
          </w:p>
        </w:tc>
      </w:tr>
      <w:tr>
        <w:tc>
          <w:tcPr/>
          <w:p>
            <w:pPr>
              <w:pStyle w:val="Compact"/>
            </w:pPr>
            <w:r>
              <w:t xml:space="preserve">PIP-GOLD-047</w:t>
            </w:r>
          </w:p>
        </w:tc>
        <w:tc>
          <w:tcPr/>
          <w:p>
            <w:pPr>
              <w:pStyle w:val="Compact"/>
            </w:pPr>
            <w:r>
              <w:t xml:space="preserve">Piping</w:t>
            </w:r>
          </w:p>
        </w:tc>
        <w:tc>
          <w:tcPr/>
          <w:p>
            <w:pPr>
              <w:pStyle w:val="Compact"/>
            </w:pPr>
            <w:r>
              <w:t xml:space="preserve">PASS (RL = 14.0 yr)</w:t>
            </w:r>
          </w:p>
        </w:tc>
        <w:tc>
          <w:tcPr/>
          <w:p>
            <w:pPr>
              <w:pStyle w:val="Compact"/>
            </w:pPr>
            <w:r>
              <w:t xml:space="preserve">None</w:t>
            </w:r>
          </w:p>
        </w:tc>
        <w:tc>
          <w:tcPr/>
          <w:p>
            <w:pPr>
              <w:pStyle w:val="Compact"/>
            </w:pPr>
            <w:r>
              <w:t xml:space="preserve">B-M-18-2026, Art. 256, C-C-75-2026</w:t>
            </w:r>
          </w:p>
        </w:tc>
      </w:tr>
    </w:tbl>
    <w:p>
      <w:pPr>
        <w:pStyle w:val="BodyText"/>
      </w:pPr>
      <w:r>
        <w:rPr>
          <w:b/>
          <w:bCs/>
        </w:rPr>
        <w:t xml:space="preserve">Table 5. KOSHA Citation Quality and Regulatory Class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Type</w:t>
            </w:r>
          </w:p>
        </w:tc>
        <w:tc>
          <w:tcPr/>
          <w:p>
            <w:pPr>
              <w:pStyle w:val="Compact"/>
            </w:pPr>
            <w:r>
              <w:t xml:space="preserve">Reference</w:t>
            </w:r>
          </w:p>
        </w:tc>
        <w:tc>
          <w:tcPr/>
          <w:p>
            <w:pPr>
              <w:pStyle w:val="Compact"/>
            </w:pPr>
            <w:r>
              <w:t xml:space="preserve">Title</w:t>
            </w:r>
          </w:p>
        </w:tc>
        <w:tc>
          <w:tcPr/>
          <w:p>
            <w:pPr>
              <w:pStyle w:val="Compact"/>
            </w:pPr>
            <w:r>
              <w:t xml:space="preserve">Regulatory class</w:t>
            </w:r>
          </w:p>
        </w:tc>
        <w:tc>
          <w:tcPr/>
          <w:p>
            <w:pPr>
              <w:pStyle w:val="Compact"/>
            </w:pPr>
            <w:r>
              <w:t xml:space="preserve">Triggered by</w:t>
            </w:r>
          </w:p>
        </w:tc>
      </w:tr>
      <w:tr>
        <w:tc>
          <w:tcPr/>
          <w:p>
            <w:pPr>
              <w:pStyle w:val="Compact"/>
            </w:pPr>
            <w:r>
              <w:t xml:space="preserve">KOSHA Guide</w:t>
            </w:r>
          </w:p>
        </w:tc>
        <w:tc>
          <w:tcPr/>
          <w:p>
            <w:pPr>
              <w:pStyle w:val="Compact"/>
            </w:pPr>
            <w:r>
              <w:t xml:space="preserve">M-69-2012</w:t>
            </w:r>
          </w:p>
        </w:tc>
        <w:tc>
          <w:tcPr/>
          <w:p>
            <w:pPr>
              <w:pStyle w:val="Compact"/>
            </w:pPr>
            <w:r>
              <w:t xml:space="preserve">Technical Guideline for Remaining Life Assessment of Pressure Vessels</w:t>
            </w:r>
          </w:p>
        </w:tc>
        <w:tc>
          <w:tcPr/>
          <w:p>
            <w:pPr>
              <w:pStyle w:val="Compact"/>
            </w:pPr>
            <w:r>
              <w:t xml:space="preserve">guidance</w:t>
            </w:r>
          </w:p>
        </w:tc>
        <w:tc>
          <w:tcPr/>
          <w:p>
            <w:pPr>
              <w:pStyle w:val="Compact"/>
            </w:pPr>
            <w:r>
              <w:t xml:space="preserve">Vessel remaining-life context</w:t>
            </w:r>
          </w:p>
        </w:tc>
      </w:tr>
      <w:tr>
        <w:tc>
          <w:tcPr/>
          <w:p>
            <w:pPr>
              <w:pStyle w:val="Compact"/>
            </w:pPr>
            <w:r>
              <w:t xml:space="preserve">KOSHA Guide</w:t>
            </w:r>
          </w:p>
        </w:tc>
        <w:tc>
          <w:tcPr/>
          <w:p>
            <w:pPr>
              <w:pStyle w:val="Compact"/>
            </w:pPr>
            <w:r>
              <w:t xml:space="preserve">C-C-23-2026</w:t>
            </w:r>
          </w:p>
        </w:tc>
        <w:tc>
          <w:tcPr/>
          <w:p>
            <w:pPr>
              <w:pStyle w:val="Compact"/>
            </w:pPr>
            <w:r>
              <w:t xml:space="preserve">Technical Regulation for Equipment Reliability via RBI</w:t>
            </w:r>
          </w:p>
        </w:tc>
        <w:tc>
          <w:tcPr/>
          <w:p>
            <w:pPr>
              <w:pStyle w:val="Compact"/>
            </w:pPr>
            <w:r>
              <w:t xml:space="preserve">guidance</w:t>
            </w:r>
          </w:p>
        </w:tc>
        <w:tc>
          <w:tcPr/>
          <w:p>
            <w:pPr>
              <w:pStyle w:val="Compact"/>
            </w:pPr>
            <w:r>
              <w:t xml:space="preserve">Short RL + corrosion rate</w:t>
            </w:r>
          </w:p>
        </w:tc>
      </w:tr>
      <w:tr>
        <w:tc>
          <w:tcPr/>
          <w:p>
            <w:pPr>
              <w:pStyle w:val="Compact"/>
            </w:pPr>
            <w:r>
              <w:t xml:space="preserve">KOSHA Guide</w:t>
            </w:r>
          </w:p>
        </w:tc>
        <w:tc>
          <w:tcPr/>
          <w:p>
            <w:pPr>
              <w:pStyle w:val="Compact"/>
            </w:pPr>
            <w:r>
              <w:t xml:space="preserve">B-M-18-2026</w:t>
            </w:r>
          </w:p>
        </w:tc>
        <w:tc>
          <w:tcPr/>
          <w:p>
            <w:pPr>
              <w:pStyle w:val="Compact"/>
            </w:pPr>
            <w:r>
              <w:t xml:space="preserve">Technical Regulation for Piping Life Management</w:t>
            </w:r>
          </w:p>
        </w:tc>
        <w:tc>
          <w:tcPr/>
          <w:p>
            <w:pPr>
              <w:pStyle w:val="Compact"/>
            </w:pPr>
            <w:r>
              <w:t xml:space="preserve">guidance</w:t>
            </w:r>
          </w:p>
        </w:tc>
        <w:tc>
          <w:tcPr/>
          <w:p>
            <w:pPr>
              <w:pStyle w:val="Compact"/>
            </w:pPr>
            <w:r>
              <w:t xml:space="preserve">High CR + sour service</w:t>
            </w:r>
          </w:p>
        </w:tc>
      </w:tr>
      <w:tr>
        <w:tc>
          <w:tcPr/>
          <w:p>
            <w:pPr>
              <w:pStyle w:val="Compact"/>
            </w:pPr>
            <w:r>
              <w:t xml:space="preserve">Korean Rule</w:t>
            </w:r>
          </w:p>
        </w:tc>
        <w:tc>
          <w:tcPr/>
          <w:p>
            <w:pPr>
              <w:pStyle w:val="Compact"/>
            </w:pPr>
            <w:r>
              <w:t xml:space="preserve">Article 256</w:t>
            </w:r>
          </w:p>
        </w:tc>
        <w:tc>
          <w:tcPr/>
          <w:p>
            <w:pPr>
              <w:pStyle w:val="Compact"/>
            </w:pPr>
            <w:r>
              <w:t xml:space="preserve">Rules on Occupational Safety and Health Standards (</w:t>
            </w:r>
            <w:r>
              <w:rPr>
                <w:rStyle w:val="VerbatimChar"/>
              </w:rPr>
              <w:t xml:space="preserve">산업안전보건기준에 관한 규칙</w:t>
            </w:r>
            <w:r>
              <w:t xml:space="preserve">)</w:t>
            </w:r>
          </w:p>
        </w:tc>
        <w:tc>
          <w:tcPr/>
          <w:p>
            <w:pPr>
              <w:pStyle w:val="Compact"/>
            </w:pPr>
            <w:r>
              <w:rPr>
                <w:b/>
                <w:bCs/>
              </w:rPr>
              <w:t xml:space="preserve">mandatory</w:t>
            </w:r>
          </w:p>
        </w:tc>
        <w:tc>
          <w:tcPr/>
          <w:p>
            <w:pPr>
              <w:pStyle w:val="Compact"/>
            </w:pPr>
            <w:r>
              <w:t xml:space="preserve">Chloride + sour + carbon steel</w:t>
            </w:r>
          </w:p>
        </w:tc>
      </w:tr>
      <w:tr>
        <w:tc>
          <w:tcPr/>
          <w:p>
            <w:pPr>
              <w:pStyle w:val="Compact"/>
            </w:pPr>
            <w:r>
              <w:t xml:space="preserve">KOSHA Guide</w:t>
            </w:r>
          </w:p>
        </w:tc>
        <w:tc>
          <w:tcPr/>
          <w:p>
            <w:pPr>
              <w:pStyle w:val="Compact"/>
            </w:pPr>
            <w:r>
              <w:t xml:space="preserve">C-C-75-2026</w:t>
            </w:r>
          </w:p>
        </w:tc>
        <w:tc>
          <w:tcPr/>
          <w:p>
            <w:pPr>
              <w:pStyle w:val="Compact"/>
            </w:pPr>
            <w:r>
              <w:t xml:space="preserve">Technical Regulation for Corrosion Risk Assessment</w:t>
            </w:r>
          </w:p>
        </w:tc>
        <w:tc>
          <w:tcPr/>
          <w:p>
            <w:pPr>
              <w:pStyle w:val="Compact"/>
            </w:pPr>
            <w:r>
              <w:t xml:space="preserve">guidance</w:t>
            </w:r>
          </w:p>
        </w:tc>
        <w:tc>
          <w:tcPr/>
          <w:p>
            <w:pPr>
              <w:pStyle w:val="Compact"/>
            </w:pPr>
            <w:r>
              <w:t xml:space="preserve">CR exceeds threshold</w:t>
            </w:r>
          </w:p>
        </w:tc>
      </w:tr>
    </w:tbl>
    <w:bookmarkEnd w:id="46"/>
    <w:bookmarkEnd w:id="47"/>
    <w:bookmarkStart w:id="51" w:name="curated-retrieval-benchmark-rq2"/>
    <w:p>
      <w:pPr>
        <w:pStyle w:val="Heading3"/>
      </w:pPr>
      <w:r>
        <w:t xml:space="preserve">6.5 Curated Retrieval Benchmark (RQ2)</w:t>
      </w:r>
    </w:p>
    <w:p>
      <w:pPr>
        <w:pStyle w:val="FirstParagraph"/>
      </w:pPr>
      <w:r>
        <w:t xml:space="preserve">To quantify the retrieval effect of synonym-aware regulatory search, we constructed a 50-query curated benchmark organised as</w:t>
      </w:r>
      <w:r>
        <w:t xml:space="preserve"> </w:t>
      </w:r>
      <w:r>
        <w:rPr>
          <w:b/>
          <w:bCs/>
        </w:rPr>
        <w:t xml:space="preserve">five regulatory target groups × ten queries per group</w:t>
      </w:r>
      <w:r>
        <w:t xml:space="preserve">, totalling 50 queries (</w:t>
      </w:r>
      <w:r>
        <w:rPr>
          <w:rStyle w:val="VerbatimChar"/>
        </w:rPr>
        <w:t xml:space="preserve">datasets/kosha_rag/rag_eval_queries.json</w:t>
      </w:r>
      <w:r>
        <w:t xml:space="preserve">).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w:t>
      </w:r>
      <w:r>
        <w:t xml:space="preserve"> </w:t>
      </w:r>
      <w:r>
        <w:rPr>
          <w:b/>
          <w:bCs/>
        </w:rPr>
        <w:t xml:space="preserve">retrieval-quality variance across query formulations</w:t>
      </w:r>
      <w:r>
        <w:t xml:space="preserve"> </w:t>
      </w:r>
      <w:r>
        <w:t xml:space="preserve">rather than breadth of regulatory coverage. The curation policy and full query set are released in the dataset folder for independent inspection.</w:t>
      </w:r>
    </w:p>
    <w:p>
      <w:pPr>
        <w:pStyle w:val="BodyText"/>
      </w:pPr>
      <w:r>
        <w:rPr>
          <w:b/>
          <w:bCs/>
        </w:rPr>
        <w:t xml:space="preserve">Sample size justification.</w:t>
      </w:r>
      <w:r>
        <w:t xml:space="preserve"> </w:t>
      </w:r>
      <w:r>
        <w:t xml:space="preserve">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p>
    <w:p>
      <w:pPr>
        <w:pStyle w:val="BodyText"/>
      </w:pPr>
      <w:r>
        <w:rPr>
          <w:b/>
          <w:bCs/>
        </w:rPr>
        <w:t xml:space="preserve">Query-generation independence — known limitation.</w:t>
      </w:r>
      <w:r>
        <w:t xml:space="preserve"> </w:t>
      </w:r>
      <w:r>
        <w:t xml:space="preserve">The 50 queries were authored by the same person who designed the system. To mitigate the obvious bias risk, we (a) constrained query construction to plausible engineering paraphrasings drawn from KOSHA technical guideline titles and from established Korean engineering vocabulary rather than from the system’s internal synonym list, (b) released the full query set under</w:t>
      </w:r>
      <w:r>
        <w:t xml:space="preserve"> </w:t>
      </w:r>
      <w:r>
        <w:rPr>
          <w:rStyle w:val="VerbatimChar"/>
        </w:rPr>
        <w:t xml:space="preserve">datasets/kosha_rag/rag_eval_queries.json</w:t>
      </w:r>
      <w:r>
        <w:t xml:space="preserve"> </w:t>
      </w:r>
      <w:r>
        <w:t xml:space="preserve">for independent inspection, and (c) report a retrieval-failure inventory (Appendix B.4) tagging every K=5 miss with one of two diagnosis categories — six of seven failures fall in</w:t>
      </w:r>
      <w:r>
        <w:t xml:space="preserve"> </w:t>
      </w:r>
      <w:r>
        <w:rPr>
          <w:rStyle w:val="VerbatimChar"/>
        </w:rPr>
        <w:t xml:space="preserve">paraphrase_too_loose</w:t>
      </w:r>
      <w:r>
        <w:t xml:space="preserve">, which is exactly the failure mode that an independently authored query set would also expose. Independent query-set authorship by a disjoint annotator pool is a documented future-work item (§8 Limitation 7).</w:t>
      </w:r>
    </w:p>
    <w:p>
      <w:pPr>
        <w:pStyle w:val="BodyText"/>
      </w:pPr>
      <w:r>
        <w:rPr>
          <w:b/>
          <w:bCs/>
        </w:rPr>
        <w:t xml:space="preserve">Table 6. KOSHA RAG Retrieval Benchmark — Overall</w:t>
      </w:r>
      <w:r>
        <w:t xml:space="preserve"> </w:t>
      </w:r>
      <w:r>
        <w:t xml:space="preserve">(paired-bootstrap 95% CIs from</w:t>
      </w:r>
      <w:r>
        <w:t xml:space="preserve"> </w:t>
      </w:r>
      <w:r>
        <w:rPr>
          <w:rStyle w:val="VerbatimChar"/>
        </w:rPr>
        <w:t xml:space="preserve">outputs/rag_bootstrap_ci_report.md</w:t>
      </w:r>
      <w:r>
        <w:t xml:space="preserve">, n=50, 1000 resamples, seed = 20260508)</w:t>
      </w: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Metric</w:t>
            </w:r>
          </w:p>
        </w:tc>
        <w:tc>
          <w:tcPr/>
          <w:p>
            <w:pPr>
              <w:pStyle w:val="Compact"/>
              <w:jc w:val="right"/>
            </w:pPr>
            <w:r>
              <w:t xml:space="preserve">Plain FTS</w:t>
            </w:r>
          </w:p>
        </w:tc>
        <w:tc>
          <w:tcPr/>
          <w:p>
            <w:pPr>
              <w:pStyle w:val="Compact"/>
              <w:jc w:val="right"/>
            </w:pPr>
            <w:r>
              <w:t xml:space="preserve">Enhanced FTS</w:t>
            </w:r>
          </w:p>
        </w:tc>
        <w:tc>
          <w:tcPr/>
          <w:p>
            <w:pPr>
              <w:pStyle w:val="Compact"/>
              <w:jc w:val="right"/>
            </w:pPr>
            <w:r>
              <w:t xml:space="preserve">Absolute Delta</w:t>
            </w:r>
          </w:p>
        </w:tc>
        <w:tc>
          <w:tcPr/>
          <w:p>
            <w:pPr>
              <w:pStyle w:val="Compact"/>
              <w:jc w:val="right"/>
            </w:pPr>
            <w:r>
              <w:t xml:space="preserve">Paired CI [2.5%, 97.5%]</w:t>
            </w:r>
          </w:p>
        </w:tc>
        <w:tc>
          <w:tcPr/>
          <w:p>
            <w:pPr>
              <w:pStyle w:val="Compact"/>
              <w:jc w:val="center"/>
            </w:pPr>
            <w:r>
              <w:t xml:space="preserve">Includes 0?</w:t>
            </w:r>
          </w:p>
        </w:tc>
      </w:tr>
      <w:tr>
        <w:tc>
          <w:tcPr/>
          <w:p>
            <w:pPr>
              <w:pStyle w:val="Compact"/>
            </w:pPr>
            <w:r>
              <w:t xml:space="preserve">Recall@1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c>
          <w:tcPr/>
          <w:p>
            <w:pPr>
              <w:pStyle w:val="Compact"/>
              <w:jc w:val="right"/>
            </w:pPr>
            <w:r>
              <w:t xml:space="preserve">[+0.14, +0.48]</w:t>
            </w:r>
          </w:p>
        </w:tc>
        <w:tc>
          <w:tcPr/>
          <w:p>
            <w:pPr>
              <w:pStyle w:val="Compact"/>
              <w:jc w:val="center"/>
            </w:pPr>
            <w:r>
              <w:t xml:space="preserve">No ✅</w:t>
            </w:r>
          </w:p>
        </w:tc>
      </w:tr>
      <w:tr>
        <w:tc>
          <w:tcPr/>
          <w:p>
            <w:pPr>
              <w:pStyle w:val="Compact"/>
            </w:pPr>
            <w:r>
              <w:t xml:space="preserve">Recall@3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Recall@5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MRR@10</w:t>
            </w:r>
          </w:p>
        </w:tc>
        <w:tc>
          <w:tcPr/>
          <w:p>
            <w:pPr>
              <w:pStyle w:val="Compact"/>
              <w:jc w:val="right"/>
            </w:pPr>
            <w:r>
              <w:t xml:space="preserve">0.5744</w:t>
            </w:r>
          </w:p>
        </w:tc>
        <w:tc>
          <w:tcPr/>
          <w:p>
            <w:pPr>
              <w:pStyle w:val="Compact"/>
              <w:jc w:val="right"/>
            </w:pPr>
            <w:r>
              <w:t xml:space="preserve">0.7933</w:t>
            </w:r>
          </w:p>
        </w:tc>
        <w:tc>
          <w:tcPr/>
          <w:p>
            <w:pPr>
              <w:pStyle w:val="Compact"/>
              <w:jc w:val="right"/>
            </w:pPr>
            <w:r>
              <w:t xml:space="preserve">+0.2189</w:t>
            </w:r>
          </w:p>
        </w:tc>
        <w:tc>
          <w:tcPr/>
          <w:p>
            <w:pPr>
              <w:pStyle w:val="Compact"/>
              <w:jc w:val="right"/>
            </w:pPr>
            <w:r>
              <w:t xml:space="preserve">[+0.09, +0.35]</w:t>
            </w:r>
          </w:p>
        </w:tc>
        <w:tc>
          <w:tcPr/>
          <w:p>
            <w:pPr>
              <w:pStyle w:val="Compact"/>
              <w:jc w:val="center"/>
            </w:pPr>
            <w:r>
              <w:t xml:space="preserve">No ✅</w:t>
            </w:r>
          </w:p>
        </w:tc>
      </w:tr>
    </w:tbl>
    <w:p>
      <w:pPr>
        <w:pStyle w:val="Body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odyText"/>
      </w:pPr>
      <w:r>
        <w:t xml:space="preserve">Extending the recall analysis to K=10 (</w:t>
      </w:r>
      <w:r>
        <w:rPr>
          <w:rStyle w:val="VerbatimChar"/>
        </w:rPr>
        <w:t xml:space="preserve">outputs/rag_retrieval_extended.md</w:t>
      </w:r>
      <w:r>
        <w:t xml:space="preserve">)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p>
    <w:p>
      <w:pPr>
        <w:pStyle w:val="BodyText"/>
      </w:pPr>
      <w:r>
        <w:rPr>
          <w:b/>
          <w:bCs/>
        </w:rPr>
        <w:t xml:space="preserve">Table 6b. KOSHA RAG Retrieval Benchmark — by Regulatory Target Group (Recall@5)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jc w:val="right"/>
            </w:pPr>
            <w:r>
              <w:t xml:space="preserve">Plain R@5</w:t>
            </w:r>
          </w:p>
        </w:tc>
        <w:tc>
          <w:tcPr/>
          <w:p>
            <w:pPr>
              <w:pStyle w:val="Compact"/>
              <w:jc w:val="right"/>
            </w:pPr>
            <w:r>
              <w:t xml:space="preserve">Enhanced R@5</w:t>
            </w:r>
          </w:p>
        </w:tc>
        <w:tc>
          <w:tcPr/>
          <w:p>
            <w:pPr>
              <w:pStyle w:val="Compact"/>
              <w:jc w:val="right"/>
            </w:pPr>
            <w:r>
              <w:t xml:space="preserve">Delta</w:t>
            </w:r>
          </w:p>
        </w:tc>
      </w:tr>
      <w:tr>
        <w:tc>
          <w:tcPr/>
          <w:p>
            <w:pPr>
              <w:pStyle w:val="Compact"/>
            </w:pPr>
            <w:r>
              <w:t xml:space="preserve">M-69 remaining life</w:t>
            </w:r>
          </w:p>
        </w:tc>
        <w:tc>
          <w:tcPr/>
          <w:p>
            <w:pPr>
              <w:pStyle w:val="Compact"/>
              <w:jc w:val="right"/>
            </w:pPr>
            <w:r>
              <w:t xml:space="preserve">0.9000</w:t>
            </w:r>
          </w:p>
        </w:tc>
        <w:tc>
          <w:tcPr/>
          <w:p>
            <w:pPr>
              <w:pStyle w:val="Compact"/>
              <w:jc w:val="right"/>
            </w:pPr>
            <w:r>
              <w:t xml:space="preserve">1.0000</w:t>
            </w:r>
          </w:p>
        </w:tc>
        <w:tc>
          <w:tcPr/>
          <w:p>
            <w:pPr>
              <w:pStyle w:val="Compact"/>
              <w:jc w:val="right"/>
            </w:pPr>
            <w:r>
              <w:t xml:space="preserve">+0.1000</w:t>
            </w:r>
          </w:p>
        </w:tc>
      </w:tr>
      <w:tr>
        <w:tc>
          <w:tcPr/>
          <w:p>
            <w:pPr>
              <w:pStyle w:val="Compact"/>
            </w:pPr>
            <w:r>
              <w:t xml:space="preserve">C-C-23 RBI</w:t>
            </w:r>
          </w:p>
        </w:tc>
        <w:tc>
          <w:tcPr/>
          <w:p>
            <w:pPr>
              <w:pStyle w:val="Compact"/>
              <w:jc w:val="right"/>
            </w:pPr>
            <w:r>
              <w:t xml:space="preserve">0.9000</w:t>
            </w:r>
          </w:p>
        </w:tc>
        <w:tc>
          <w:tcPr/>
          <w:p>
            <w:pPr>
              <w:pStyle w:val="Compact"/>
              <w:jc w:val="right"/>
            </w:pPr>
            <w:r>
              <w:t xml:space="preserve">0.9000</w:t>
            </w:r>
          </w:p>
        </w:tc>
        <w:tc>
          <w:tcPr/>
          <w:p>
            <w:pPr>
              <w:pStyle w:val="Compact"/>
              <w:jc w:val="right"/>
            </w:pPr>
            <w:r>
              <w:t xml:space="preserve">+0.0000</w:t>
            </w:r>
          </w:p>
        </w:tc>
      </w:tr>
      <w:tr>
        <w:tc>
          <w:tcPr/>
          <w:p>
            <w:pPr>
              <w:pStyle w:val="Compact"/>
            </w:pPr>
            <w:r>
              <w:t xml:space="preserve">B-M-18 piping life</w:t>
            </w:r>
          </w:p>
        </w:tc>
        <w:tc>
          <w:tcPr/>
          <w:p>
            <w:pPr>
              <w:pStyle w:val="Compact"/>
              <w:jc w:val="right"/>
            </w:pPr>
            <w:r>
              <w:t xml:space="preserve">0.6000</w:t>
            </w:r>
          </w:p>
        </w:tc>
        <w:tc>
          <w:tcPr/>
          <w:p>
            <w:pPr>
              <w:pStyle w:val="Compact"/>
              <w:jc w:val="right"/>
            </w:pPr>
            <w:r>
              <w:t xml:space="preserve">0.8000</w:t>
            </w:r>
          </w:p>
        </w:tc>
        <w:tc>
          <w:tcPr/>
          <w:p>
            <w:pPr>
              <w:pStyle w:val="Compact"/>
              <w:jc w:val="right"/>
            </w:pPr>
            <w:r>
              <w:t xml:space="preserve">+0.2000</w:t>
            </w:r>
          </w:p>
        </w:tc>
      </w:tr>
      <w:tr>
        <w:tc>
          <w:tcPr/>
          <w:p>
            <w:pPr>
              <w:pStyle w:val="Compact"/>
            </w:pPr>
            <w:r>
              <w:t xml:space="preserve">C-C-75 corrosion risk</w:t>
            </w:r>
          </w:p>
        </w:tc>
        <w:tc>
          <w:tcPr/>
          <w:p>
            <w:pPr>
              <w:pStyle w:val="Compact"/>
              <w:jc w:val="right"/>
            </w:pPr>
            <w:r>
              <w:t xml:space="preserve">0.8000</w:t>
            </w:r>
          </w:p>
        </w:tc>
        <w:tc>
          <w:tcPr/>
          <w:p>
            <w:pPr>
              <w:pStyle w:val="Compact"/>
              <w:jc w:val="right"/>
            </w:pPr>
            <w:r>
              <w:t xml:space="preserve">0.9000</w:t>
            </w:r>
          </w:p>
        </w:tc>
        <w:tc>
          <w:tcPr/>
          <w:p>
            <w:pPr>
              <w:pStyle w:val="Compact"/>
              <w:jc w:val="right"/>
            </w:pPr>
            <w:r>
              <w:t xml:space="preserve">+0.1000</w:t>
            </w:r>
          </w:p>
        </w:tc>
      </w:tr>
      <w:tr>
        <w:tc>
          <w:tcPr/>
          <w:p>
            <w:pPr>
              <w:pStyle w:val="Compact"/>
            </w:pPr>
            <w:r>
              <w:t xml:space="preserve">Article 256 corrosion prevention</w:t>
            </w:r>
          </w:p>
        </w:tc>
        <w:tc>
          <w:tcPr/>
          <w:p>
            <w:pPr>
              <w:pStyle w:val="Compact"/>
              <w:jc w:val="right"/>
            </w:pPr>
            <w:r>
              <w:t xml:space="preserve">0.5000</w:t>
            </w:r>
          </w:p>
        </w:tc>
        <w:tc>
          <w:tcPr/>
          <w:p>
            <w:pPr>
              <w:pStyle w:val="Compact"/>
              <w:jc w:val="right"/>
            </w:pPr>
            <w:r>
              <w:t xml:space="preserve">0.7000</w:t>
            </w:r>
          </w:p>
        </w:tc>
        <w:tc>
          <w:tcPr/>
          <w:p>
            <w:pPr>
              <w:pStyle w:val="Compact"/>
              <w:jc w:val="right"/>
            </w:pPr>
            <w:r>
              <w:t xml:space="preserve">+0.2000</w:t>
            </w:r>
          </w:p>
        </w:tc>
      </w:tr>
    </w:tbl>
    <w:p>
      <w:pPr>
        <w:pStyle w:val="Body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CaptionedFigure"/>
      </w:pPr>
      <w: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49" name="Picture"/>
            <a:graphic>
              <a:graphicData uri="http://schemas.openxmlformats.org/drawingml/2006/picture">
                <pic:pic>
                  <pic:nvPicPr>
                    <pic:cNvPr descr="figures/fig_5_retrieval_metrics.png" id="50" name="Picture"/>
                    <pic:cNvPicPr>
                      <a:picLocks noChangeArrowheads="1" noChangeAspect="1"/>
                    </pic:cNvPicPr>
                  </pic:nvPicPr>
                  <pic:blipFill>
                    <a:blip r:embed="rId48"/>
                    <a:stretch>
                      <a:fillRect/>
                    </a:stretch>
                  </pic:blipFill>
                  <pic:spPr bwMode="auto">
                    <a:xfrm>
                      <a:off x="0" y="0"/>
                      <a:ext cx="5334000" cy="2530024"/>
                    </a:xfrm>
                    <a:prstGeom prst="rect">
                      <a:avLst/>
                    </a:prstGeom>
                    <a:noFill/>
                    <a:ln w="9525">
                      <a:noFill/>
                      <a:headEnd/>
                      <a:tailEnd/>
                    </a:ln>
                  </pic:spPr>
                </pic:pic>
              </a:graphicData>
            </a:graphic>
          </wp:inline>
        </w:drawing>
      </w:r>
    </w:p>
    <w:p>
      <w:pPr>
        <w:pStyle w:val="ImageCaption"/>
      </w:pPr>
      <w:r>
        <w:t xml:space="preserve">Figure 5. Recall and MRR per regulatory target group, Plain BM25 vs Enhanced (concept-aware synonym expansion + OR fallback). Largest gains on Article 256 and B-M-18 where casual paraphrasing diverges from formal titles.</w:t>
      </w:r>
    </w:p>
    <w:bookmarkEnd w:id="51"/>
    <w:bookmarkStart w:id="53" w:name="X945ebd9b2e343d6b9f880fd96f78b4c10113984"/>
    <w:p>
      <w:pPr>
        <w:pStyle w:val="Heading3"/>
      </w:pPr>
      <w:r>
        <w:t xml:space="preserve">6.6 Industry-Baseline Comparison and Internal Ablation</w:t>
      </w:r>
    </w:p>
    <w:p>
      <w:pPr>
        <w:pStyle w:val="FirstParagraph"/>
      </w:pPr>
      <w:r>
        <w:t xml:space="preserve">An effective comparison against existing methods is essential. We address this in two layers, each consistent with the structural novelty of the proposed problem.</w:t>
      </w:r>
    </w:p>
    <w:p>
      <w:pPr>
        <w:pStyle w:val="Body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odyText"/>
      </w:pPr>
      <w:r>
        <w:rPr>
          <w:b/>
          <w:bCs/>
        </w:rPr>
        <w:t xml:space="preserve">Table 7. Industry-Baseline (</w:t>
      </w:r>
      <w:r>
        <w:rPr>
          <w:b/>
          <w:bCs/>
        </w:rPr>
        <w:t xml:space="preserve">“ASME/API pass = compliance complete”</w:t>
      </w:r>
      <w:r>
        <w:rPr>
          <w:b/>
          <w:bCs/>
        </w:rPr>
        <w:t xml:space="preserve">) vs Regulatory RAG</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Case</w:t>
            </w:r>
          </w:p>
        </w:tc>
        <w:tc>
          <w:tcPr/>
          <w:p>
            <w:pPr>
              <w:pStyle w:val="Compact"/>
              <w:jc w:val="right"/>
            </w:pPr>
            <w:r>
              <w:t xml:space="preserve">Industry baseline detected</w:t>
            </w:r>
          </w:p>
        </w:tc>
        <w:tc>
          <w:tcPr/>
          <w:p>
            <w:pPr>
              <w:pStyle w:val="Compact"/>
              <w:jc w:val="right"/>
            </w:pPr>
            <w:r>
              <w:t xml:space="preserve">Regulatory RAG detected</w:t>
            </w:r>
          </w:p>
        </w:tc>
        <w:tc>
          <w:tcPr/>
          <w:p>
            <w:pPr>
              <w:pStyle w:val="Compact"/>
              <w:jc w:val="right"/>
            </w:pPr>
            <w:r>
              <w:t xml:space="preserve">First relevant rank</w:t>
            </w:r>
          </w:p>
        </w:tc>
      </w:tr>
      <w:tr>
        <w:tc>
          <w:tcPr/>
          <w:p>
            <w:pPr>
              <w:pStyle w:val="Compact"/>
            </w:pPr>
            <w:r>
              <w:t xml:space="preserve">VES-GOLD-001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VES-GOLD-009</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PIP-GOLD-047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Total</w:t>
            </w:r>
          </w:p>
        </w:tc>
        <w:tc>
          <w:tcPr/>
          <w:p>
            <w:pPr>
              <w:pStyle w:val="Compact"/>
              <w:jc w:val="right"/>
            </w:pPr>
            <w:r>
              <w:rPr>
                <w:b/>
                <w:bCs/>
              </w:rPr>
              <w:t xml:space="preserve">0 / 3</w:t>
            </w:r>
          </w:p>
        </w:tc>
        <w:tc>
          <w:tcPr/>
          <w:p>
            <w:pPr>
              <w:pStyle w:val="Compact"/>
              <w:jc w:val="right"/>
            </w:pPr>
            <w:r>
              <w:rPr>
                <w:b/>
                <w:bCs/>
              </w:rPr>
              <w:t xml:space="preserve">3 / 3</w:t>
            </w:r>
          </w:p>
        </w:tc>
        <w:tc>
          <w:tcPr/>
          <w:p>
            <w:pPr>
              <w:pStyle w:val="Compact"/>
              <w:jc w:val="right"/>
            </w:pPr>
            <w:r>
              <w:t xml:space="preserve">—</w:t>
            </w:r>
          </w:p>
        </w:tc>
      </w:tr>
    </w:tbl>
    <w:p>
      <w:pPr>
        <w:pStyle w:val="BodyText"/>
      </w:pPr>
      <w:r>
        <w:rPr>
          <w:b/>
          <w:bCs/>
        </w:rPr>
        <w:t xml:space="preserve">Layer B — Internal four-layer ablation.</w:t>
      </w:r>
      <w:r>
        <w:t xml:space="preserve"> </w:t>
      </w:r>
      <w:r>
        <w:t xml:space="preserve">Beyond the validator-on/off ablation of §6.3, we report the incremental detection contribution of each system layer in Table 7b.</w:t>
      </w:r>
    </w:p>
    <w:p>
      <w:pPr>
        <w:pStyle w:val="BodyText"/>
      </w:pPr>
      <w:r>
        <w:rPr>
          <w:b/>
          <w:bCs/>
        </w:rPr>
        <w:t xml:space="preserve">Table 7b. Internal Ablation by System Layer (3 case set + 60 ablation set)</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Cross-discipline blocks (60-case set)</w:t>
            </w:r>
          </w:p>
        </w:tc>
        <w:tc>
          <w:tcPr/>
          <w:p>
            <w:pPr>
              <w:pStyle w:val="Compact"/>
              <w:jc w:val="right"/>
            </w:pPr>
            <w:r>
              <w:t xml:space="preserve">KOSHA-jurisdiction detections (3-case set)</w:t>
            </w:r>
          </w:p>
        </w:tc>
      </w:tr>
      <w:tr>
        <w:tc>
          <w:tcPr/>
          <w:p>
            <w:pPr>
              <w:pStyle w:val="Compact"/>
            </w:pPr>
            <w:r>
              <w:t xml:space="preserve">Calc engines only</w:t>
            </w:r>
          </w:p>
        </w:tc>
        <w:tc>
          <w:tcPr/>
          <w:p>
            <w:pPr>
              <w:pStyle w:val="Compact"/>
              <w:jc w:val="right"/>
            </w:pPr>
            <w:r>
              <w:t xml:space="preserve">0 / 60</w:t>
            </w:r>
          </w:p>
        </w:tc>
        <w:tc>
          <w:tcPr/>
          <w:p>
            <w:pPr>
              <w:pStyle w:val="Compact"/>
              <w:jc w:val="right"/>
            </w:pPr>
            <w:r>
              <w:t xml:space="preserve">0 / 3</w:t>
            </w:r>
          </w:p>
        </w:tc>
      </w:tr>
      <w:tr>
        <w:tc>
          <w:tcPr/>
          <w:p>
            <w:pPr>
              <w:pStyle w:val="Compact"/>
            </w:pPr>
            <w:r>
              <w:t xml:space="preserve">Calc + Cross-discipline validator</w:t>
            </w:r>
          </w:p>
        </w:tc>
        <w:tc>
          <w:tcPr/>
          <w:p>
            <w:pPr>
              <w:pStyle w:val="Compact"/>
              <w:jc w:val="right"/>
            </w:pPr>
            <w:r>
              <w:t xml:space="preserve">26 / 60</w:t>
            </w:r>
          </w:p>
        </w:tc>
        <w:tc>
          <w:tcPr/>
          <w:p>
            <w:pPr>
              <w:pStyle w:val="Compact"/>
              <w:jc w:val="right"/>
            </w:pPr>
            <w:r>
              <w:t xml:space="preserve">0 / 3</w:t>
            </w:r>
          </w:p>
        </w:tc>
      </w:tr>
      <w:tr>
        <w:tc>
          <w:tcPr/>
          <w:p>
            <w:pPr>
              <w:pStyle w:val="Compact"/>
            </w:pPr>
            <w:r>
              <w:t xml:space="preserve">Calc + KOSHA RAG (no K-voting, no validator)</w:t>
            </w:r>
          </w:p>
        </w:tc>
        <w:tc>
          <w:tcPr/>
          <w:p>
            <w:pPr>
              <w:pStyle w:val="Compact"/>
              <w:jc w:val="right"/>
            </w:pPr>
            <w:r>
              <w:t xml:space="preserve">0 / 60</w:t>
            </w:r>
          </w:p>
        </w:tc>
        <w:tc>
          <w:tcPr/>
          <w:p>
            <w:pPr>
              <w:pStyle w:val="Compact"/>
              <w:jc w:val="right"/>
            </w:pPr>
            <w:r>
              <w:t xml:space="preserve">3 / 3</w:t>
            </w:r>
          </w:p>
        </w:tc>
      </w:tr>
      <w:tr>
        <w:tc>
          <w:tcPr/>
          <w:p>
            <w:pPr>
              <w:pStyle w:val="Compact"/>
            </w:pPr>
            <w:r>
              <w:t xml:space="preserve">Full system (Calc + K-voting + Validator + RAG)</w:t>
            </w:r>
          </w:p>
        </w:tc>
        <w:tc>
          <w:tcPr/>
          <w:p>
            <w:pPr>
              <w:pStyle w:val="Compact"/>
              <w:jc w:val="right"/>
            </w:pPr>
            <w:r>
              <w:t xml:space="preserve">26 / 60</w:t>
            </w:r>
          </w:p>
        </w:tc>
        <w:tc>
          <w:tcPr/>
          <w:p>
            <w:pPr>
              <w:pStyle w:val="Compact"/>
              <w:jc w:val="right"/>
            </w:pPr>
            <w:r>
              <w:t xml:space="preserve">3 / 3</w:t>
            </w:r>
          </w:p>
        </w:tc>
      </w:tr>
    </w:tbl>
    <w:p>
      <w:pPr>
        <w:pStyle w:val="BodyText"/>
      </w:pPr>
      <w:r>
        <w:t xml:space="preserve">All four rows of Table 7b are computed by</w:t>
      </w:r>
      <w:r>
        <w:t xml:space="preserve"> </w:t>
      </w:r>
      <w:r>
        <w:rPr>
          <w:rStyle w:val="VerbatimChar"/>
        </w:rPr>
        <w:t xml:space="preserve">scripts/run_layer_ablation.py</w:t>
      </w:r>
      <w:r>
        <w:t xml:space="preserve"> </w:t>
      </w:r>
      <w:r>
        <w:t xml:space="preserve">(</w:t>
      </w:r>
      <w:r>
        <w:rPr>
          <w:rStyle w:val="VerbatimChar"/>
        </w:rPr>
        <w:t xml:space="preserve">outputs/layer_ablation_report.md</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 (Section 5.4).</w:t>
      </w:r>
    </w:p>
    <w:p>
      <w:pPr>
        <w:pStyle w:val="BodyText"/>
      </w:pPr>
      <w:r>
        <w:rPr>
          <w:b/>
          <w:bCs/>
        </w:rPr>
        <w:t xml:space="preserve">No prior system targets the jurisdiction compliance gap directly.</w:t>
      </w:r>
      <w:r>
        <w:t xml:space="preserve"> </w:t>
      </w:r>
      <w:r>
        <w:t xml:space="preserve">A side-by-side comparison against another published system that performs</w:t>
      </w:r>
      <w:r>
        <w:t xml:space="preserve"> </w:t>
      </w:r>
      <w:r>
        <w:rPr>
          <w:i/>
          <w:iCs/>
        </w:rPr>
        <w:t xml:space="preserve">the same task</w:t>
      </w:r>
      <w:r>
        <w:t xml:space="preserve"> </w:t>
      </w:r>
      <w:r>
        <w:t xml:space="preserve">(KOSHA-aware,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p>
    <w:p>
      <w:pPr>
        <w:pStyle w:val="BodyText"/>
      </w:pPr>
      <w:r>
        <w:rPr>
          <w:b/>
          <w:bCs/>
        </w:rPr>
        <w:t xml:space="preserve">The industry baseline is not a human-expert comparison.</w:t>
      </w:r>
      <w:r>
        <w:t xml:space="preserve"> </w:t>
      </w:r>
      <w:r>
        <w:t xml:space="preserve">The</w:t>
      </w:r>
      <w:r>
        <w:t xml:space="preserve"> </w:t>
      </w:r>
      <w:r>
        <w:t xml:space="preserve">“ASME/API pass = compliance complete”</w:t>
      </w:r>
      <w:r>
        <w:t xml:space="preserve"> </w:t>
      </w:r>
      <w:r>
        <w:t xml:space="preserve">rule used in Table 7 is the prevailing decision rule in current EPC practice, not a benchmark against process engineers performing the same review. A prospective comparison against an independent panel of KOSHA PSM auditors or process engineers — for example, a blind review of system-flagged compliance gaps and inter-rater agreement with the human panel — is documented as future work in §8 Limitation 7 and is required before any claim of inter-rater reliability with human experts can be made.</w:t>
      </w:r>
    </w:p>
    <w:p>
      <w:pPr>
        <w:pStyle w:val="BodyText"/>
      </w:pPr>
      <w:r>
        <w:rPr>
          <w:b/>
          <w:bCs/>
        </w:rPr>
        <w:t xml:space="preserve">Sensitivity analysis and uncertainty.</w:t>
      </w:r>
      <w:r>
        <w:t xml:space="preserve"> </w:t>
      </w:r>
      <w:r>
        <w:t xml:space="preserve">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w:t>
      </w:r>
      <w:r>
        <w:t xml:space="preserve"> </w:t>
      </w:r>
      <w:r>
        <w:rPr>
          <w:b/>
          <w:bCs/>
        </w:rPr>
        <w:t xml:space="preserve">0.062</w:t>
      </w:r>
      <w:r>
        <w:t xml:space="preserve"> </w:t>
      </w:r>
      <w:r>
        <w:t xml:space="preserve">from the binomial form (</w:t>
      </w:r>
      <w:r>
        <w:rPr>
          <w:rStyle w:val="VerbatimChar"/>
        </w:rPr>
        <w:t xml:space="preserve">sqrt(p(1-p)/n)</w:t>
      </w:r>
      <w:r>
        <w:t xml:space="preserve">, n=50, p=0.7400), and the paired-bootstrap 95% CI on the +0.30 Recall@1 delta is</w:t>
      </w:r>
      <w:r>
        <w:t xml:space="preserve"> </w:t>
      </w:r>
      <w:r>
        <w:rPr>
          <w:b/>
          <w:bCs/>
        </w:rPr>
        <w:t xml:space="preserve">[+0.14, +0.48]</w:t>
      </w:r>
      <w:r>
        <w:t xml:space="preserve"> </w:t>
      </w:r>
      <w:r>
        <w:t xml:space="preserve">(excludes zero; see Table 6). The MRR@10 delta of +0.2189 has CI</w:t>
      </w:r>
      <w:r>
        <w:t xml:space="preserve"> </w:t>
      </w:r>
      <w:r>
        <w:rPr>
          <w:b/>
          <w:bCs/>
        </w:rPr>
        <w:t xml:space="preserve">[+0.09, +0.35]</w:t>
      </w:r>
      <w:r>
        <w:t xml:space="preserve"> </w:t>
      </w:r>
      <w:r>
        <w:t xml:space="preserve">(also excludes zero).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bookmarkStart w:id="52" w:name="real-plant-pipeline-execution-evidence"/>
    <w:p>
      <w:pPr>
        <w:pStyle w:val="Heading4"/>
      </w:pPr>
      <w:r>
        <w:t xml:space="preserve">6.6.3 Real-plant pipeline-execution evidence</w:t>
      </w:r>
    </w:p>
    <w:p>
      <w:pPr>
        <w:pStyle w:val="FirstParagraph"/>
      </w:pPr>
      <w:r>
        <w:rPr>
          <w:b/>
          <w:bCs/>
        </w:rPr>
        <w:t xml:space="preserve">Headline.</w:t>
      </w:r>
      <w:r>
        <w:t xml:space="preserve"> </w:t>
      </w:r>
      <w:r>
        <w:t xml:space="preserve">Running the unmodified pipeline against an anonymised real-plant data sheet (VES-REAL-001) produces a deterministic ASME UG-27 governing thickness of</w:t>
      </w:r>
      <w:r>
        <w:t xml:space="preserve"> </w:t>
      </w:r>
      <w:r>
        <w:rPr>
          <w:b/>
          <w:bCs/>
        </w:rPr>
        <w:t xml:space="preserve">7.237 mm</w:t>
      </w:r>
      <w:r>
        <w:t xml:space="preserve"> </w:t>
      </w:r>
      <w:r>
        <w:t xml:space="preserve">and surfaces a mandatory KOSHA provision (</w:t>
      </w:r>
      <w:r>
        <w:rPr>
          <w:b/>
          <w:bCs/>
        </w:rPr>
        <w:t xml:space="preserve">Article 266</w:t>
      </w:r>
      <w:r>
        <w:t xml:space="preserve">, flare-path block-valve prohibition) at rank 5 of the retrieval — without any tuning to this case.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w:t>
      </w:r>
      <w:r>
        <w:t xml:space="preserve"> </w:t>
      </w:r>
      <w:r>
        <w:rPr>
          <w:b/>
          <w:bCs/>
        </w:rPr>
        <w:t xml:space="preserve">7.237 mm</w:t>
      </w:r>
      <w:r>
        <w:t xml:space="preserve"> </w:t>
      </w:r>
      <w:r>
        <w:t xml:space="preserve">at the +190 °C side, with the Layer-4 reverse-pressure check closing to within machine epsilon. KOSHA RAG retrieval, executed through the same code path used in §6.5, returns on the spec-faithful Variant A query</w:t>
      </w:r>
      <w:r>
        <w:t xml:space="preserve"> </w:t>
      </w:r>
      <w:r>
        <w:rPr>
          <w:b/>
          <w:bCs/>
        </w:rPr>
        <w:t xml:space="preserve">2 mandatory law-article hits + 8 KOSHA technical guides</w:t>
      </w:r>
      <w:r>
        <w:t xml:space="preserve"> </w:t>
      </w:r>
      <w:r>
        <w:t xml:space="preserve">in the top-10, and on the narrower Variant B Korean-term probe</w:t>
      </w:r>
      <w:r>
        <w:t xml:space="preserve"> </w:t>
      </w:r>
      <w:r>
        <w:rPr>
          <w:b/>
          <w:bCs/>
        </w:rPr>
        <w:t xml:space="preserve">1 mandatory + 9 guidance hits</w:t>
      </w:r>
      <w:r>
        <w:t xml:space="preserve">, with</w:t>
      </w:r>
      <w:r>
        <w:t xml:space="preserve"> </w:t>
      </w:r>
      <w:r>
        <w:rPr>
          <w:b/>
          <w:bCs/>
        </w:rPr>
        <w:t xml:space="preserve">Article 266</w:t>
      </w:r>
      <w:r>
        <w:t xml:space="preserve"> </w:t>
      </w:r>
      <w:r>
        <w:t xml:space="preserve">(block-valve prohibition on flare and relief paths under the</w:t>
      </w:r>
      <w:r>
        <w:t xml:space="preserve"> </w:t>
      </w:r>
      <w:r>
        <w:rPr>
          <w:i/>
          <w:iCs/>
        </w:rPr>
        <w:t xml:space="preserve">Rules on Occupational Safety and Health Standards</w:t>
      </w:r>
      <w:r>
        <w:t xml:space="preserve">) surfacing at</w:t>
      </w:r>
      <w:r>
        <w:t xml:space="preserve"> </w:t>
      </w:r>
      <w:r>
        <w:rPr>
          <w:b/>
          <w:bCs/>
        </w:rPr>
        <w:t xml:space="preserve">rank 5</w:t>
      </w:r>
      <w:r>
        <w:t xml:space="preserve"> </w:t>
      </w:r>
      <w:r>
        <w:t xml:space="preserve">in Variant B. The full evidence — inputs, calculation outputs, retrieval top-10 with BM25 scores and snippets, and the explicit framing as pipeline-execution evidence rather than predictive validation — is reproduced verbatim in Appendix A from</w:t>
      </w:r>
      <w:r>
        <w:t xml:space="preserve"> </w:t>
      </w:r>
      <w:r>
        <w:rPr>
          <w:rStyle w:val="VerbatimChar"/>
        </w:rPr>
        <w:t xml:space="preserve">outputs/real_case_ves001_rag.{json,md}</w:t>
      </w:r>
      <w:r>
        <w:t xml:space="preserve"> </w:t>
      </w:r>
      <w:r>
        <w:t xml:space="preserve">(regenerated by</w:t>
      </w:r>
      <w:r>
        <w:t xml:space="preserve"> </w:t>
      </w:r>
      <w:r>
        <w:rPr>
          <w:rStyle w:val="VerbatimChar"/>
        </w:rPr>
        <w:t xml:space="preserve">scripts/run_real_case_ves001_rag.py</w:t>
      </w:r>
      <w:r>
        <w:t xml:space="preserve">).</w:t>
      </w:r>
    </w:p>
    <w:bookmarkEnd w:id="52"/>
    <w:bookmarkEnd w:id="53"/>
    <w:bookmarkStart w:id="54" w:name="X6762119d985af37c40d83aa7af8b42566e23b89"/>
    <w:p>
      <w:pPr>
        <w:pStyle w:val="Heading3"/>
      </w:pPr>
      <w:r>
        <w:t xml:space="preserve">6.7 Citation Traceability and Negative-Case Evidence</w:t>
      </w:r>
    </w:p>
    <w:p>
      <w:pPr>
        <w:pStyle w:val="FirstParagraph"/>
      </w:pPr>
      <w:r>
        <w:rPr>
          <w:b/>
          <w:bCs/>
        </w:rPr>
        <w:t xml:space="preserve">Citation-traceability precision.</w:t>
      </w:r>
      <w:r>
        <w:t xml:space="preserve"> </w:t>
      </w:r>
      <w:r>
        <w:t xml:space="preserve">Every regulatory grounding produced by the system carries a citation to a</w:t>
      </w:r>
      <w:r>
        <w:t xml:space="preserve"> </w:t>
      </w:r>
      <w:r>
        <w:rPr>
          <w:rStyle w:val="VerbatimChar"/>
        </w:rPr>
        <w:t xml:space="preserve">(reference_code, chunk_id)</w:t>
      </w:r>
      <w:r>
        <w:t xml:space="preserve"> </w:t>
      </w:r>
      <w:r>
        <w:t xml:space="preserve">tuple that resolves to a row in the SQLite FTS5 index (</w:t>
      </w:r>
      <w:r>
        <w:rPr>
          <w:rStyle w:val="VerbatimChar"/>
        </w:rPr>
        <w:t xml:space="preserve">indexed/kosha_rag.db</w:t>
      </w:r>
      <w:r>
        <w:t xml:space="preserve">). The grounding generator (</w:t>
      </w:r>
      <w:r>
        <w:rPr>
          <w:rStyle w:val="VerbatimChar"/>
        </w:rPr>
        <w:t xml:space="preserve">src/rag/local_kosha_rag.py</w:t>
      </w:r>
      <w:r>
        <w:t xml:space="preserve">) refuses to emit advisories whose citation index does not match a passage actually returned by retrieval, so the citation-traceability precision is</w:t>
      </w:r>
      <w:r>
        <w:t xml:space="preserve"> </w:t>
      </w:r>
      <w:r>
        <w:rPr>
          <w:b/>
          <w:bCs/>
        </w:rPr>
        <w:t xml:space="preserve">100% by construction</w:t>
      </w:r>
      <w:r>
        <w:t xml:space="preserve">. We make this an explicit metric to address the well-known LLM-hallucination concern on regulatory-grounded outputs.</w:t>
      </w:r>
    </w:p>
    <w:p>
      <w:pPr>
        <w:pStyle w:val="BodyText"/>
      </w:pPr>
      <w:r>
        <w:rPr>
          <w:b/>
          <w:bCs/>
        </w:rPr>
        <w:t xml:space="preserve">Negative case (no false-positive flag).</w:t>
      </w:r>
      <w:r>
        <w:t xml:space="preserve"> </w:t>
      </w:r>
      <w:r>
        <w:t xml:space="preserve">To address the false-positive concern, we report a representative</w:t>
      </w:r>
      <w:r>
        <w:t xml:space="preserve"> </w:t>
      </w:r>
      <w:r>
        <w:rPr>
          <w:i/>
          <w:iCs/>
        </w:rPr>
        <w:t xml:space="preserve">negative</w:t>
      </w:r>
      <w:r>
        <w:t xml:space="preserve"> </w:t>
      </w:r>
      <w:r>
        <w:t xml:space="preserve">case from the same dataset:</w:t>
      </w:r>
      <w:r>
        <w:t xml:space="preserve"> </w:t>
      </w:r>
      <w:r>
        <w:rPr>
          <w:b/>
          <w:bCs/>
        </w:rPr>
        <w:t xml:space="preserve">PIP-GOLD-003</w:t>
      </w:r>
      <w:r>
        <w:t xml:space="preserve"> </w:t>
      </w:r>
      <w:r>
        <w:t xml:space="preserve">— a stainless-steel SA-312 TP316 ERW line under general (non-corrosive) service conditions (design pressure</w:t>
      </w:r>
      <w:r>
        <w:t xml:space="preserve"> </w:t>
      </w:r>
      <w:r>
        <w:rPr>
          <w:b/>
          <w:bCs/>
        </w:rPr>
        <w:t xml:space="preserve">2.013 MPa</w:t>
      </w:r>
      <w:r>
        <w:t xml:space="preserve">, design temperature</w:t>
      </w:r>
      <w:r>
        <w:t xml:space="preserve"> </w:t>
      </w:r>
      <w:r>
        <w:rPr>
          <w:b/>
          <w:bCs/>
        </w:rPr>
        <w:t xml:space="preserve">119.5 °C</w:t>
      </w:r>
      <w:r>
        <w:t xml:space="preserve">; no chloride or sour-service flag is set in the case spec; verified against</w:t>
      </w:r>
      <w:r>
        <w:t xml:space="preserve"> </w:t>
      </w:r>
      <w:r>
        <w:rPr>
          <w:rStyle w:val="VerbatimChar"/>
        </w:rPr>
        <w:t xml:space="preserve">datasets/golden_standards/piping_golden_dataset_v1.json:PIP-GOLD-003</w:t>
      </w:r>
      <w:r>
        <w:t xml:space="preserve">). The calculation engine returns no red flags (</w:t>
      </w:r>
      <w:r>
        <w:rPr>
          <w:rStyle w:val="VerbatimChar"/>
        </w:rPr>
        <w:t xml:space="preserve">expected_red_flags: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odyText"/>
      </w:pPr>
      <w:r>
        <w:t xml:space="preserve">The same evidence file 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retain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answered by the spec-faithful generic-piping-integrity variant (no terms that the case spec does not assert); the answer is</w:t>
      </w:r>
      <w:r>
        <w:t xml:space="preserve"> </w:t>
      </w:r>
      <w:r>
        <w:rPr>
          <w:b/>
          <w:bCs/>
        </w:rPr>
        <w:t xml:space="preserve">no</w:t>
      </w:r>
      <w:r>
        <w:t xml:space="preserve"> </w:t>
      </w:r>
      <w:r>
        <w:t xml:space="preserve">(0 mandatory in top-10).</w:t>
      </w:r>
      <w:r>
        <w:t xml:space="preserve"> </w:t>
      </w:r>
      <w:r>
        <w:rPr>
          <w:b/>
          <w:bCs/>
        </w:rPr>
        <w:t xml:space="preserve">(ii)</w:t>
      </w:r>
      <w:r>
        <w:t xml:space="preserve"> </w:t>
      </w:r>
      <w:r>
        <w:rPr>
          <w:i/>
          <w:iCs/>
        </w:rPr>
        <w:t xml:space="preserve">Does the system retrieve Article 256 when a query explicitly contains the phrases</w:t>
      </w:r>
      <w:r>
        <w:rPr>
          <w:i/>
          <w:iCs/>
        </w:rPr>
        <w:t xml:space="preserve"> </w:t>
      </w:r>
      <w:r>
        <w:rPr>
          <w:i/>
          <w:iCs/>
        </w:rPr>
        <w:t xml:space="preserve">“Article 256”</w:t>
      </w:r>
      <w:r>
        <w:rPr>
          <w:i/>
          <w:iCs/>
        </w:rPr>
        <w:t xml:space="preserve"> </w:t>
      </w:r>
      <w:r>
        <w:rPr>
          <w:i/>
          <w:iCs/>
        </w:rPr>
        <w:t xml:space="preserve">and</w:t>
      </w:r>
      <w:r>
        <w:rPr>
          <w:i/>
          <w:iCs/>
        </w:rPr>
        <w:t xml:space="preserve"> </w:t>
      </w:r>
      <w:r>
        <w:rPr>
          <w:i/>
          <w:iCs/>
        </w:rPr>
        <w:t xml:space="preserve">“corrosion prevention”</w:t>
      </w:r>
      <w:r>
        <w:rPr>
          <w:i/>
          <w:iCs/>
        </w:rPr>
        <w:t xml:space="preserve">?</w:t>
      </w:r>
      <w:r>
        <w:t xml:space="preserve"> </w:t>
      </w:r>
      <w:r>
        <w:t xml:space="preserve">— a question of retrieval correctness, not of negative-case behaviour, answered by the second variant;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the Korean statute on corrosion prevention and BM25 is responding correctly to the keywords supplied. The §6.7 negative-case argument here concerns (i); the (ii) probe is reported in the same evidence file for honest disclosure.</w:t>
      </w:r>
    </w:p>
    <w:p>
      <w:r>
        <w:pict>
          <v:rect style="width:0;height:1.5pt" o:hralign="center" o:hrstd="t" o:hr="t"/>
        </w:pict>
      </w:r>
    </w:p>
    <w:bookmarkEnd w:id="54"/>
    <w:bookmarkEnd w:id="55"/>
    <w:bookmarkStart w:id="62" w:name="discussion"/>
    <w:p>
      <w:pPr>
        <w:pStyle w:val="Heading2"/>
      </w:pPr>
      <w:r>
        <w:t xml:space="preserve">7. Discussion</w:t>
      </w:r>
    </w:p>
    <w:p>
      <w:pPr>
        <w:pStyle w:val="FirstParagraph"/>
      </w:pPr>
      <w:r>
        <w:t xml:space="preserve">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bookmarkStart w:id="56" w:name="the-jurisdiction-compliance-gap"/>
    <w:p>
      <w:pPr>
        <w:pStyle w:val="Heading3"/>
      </w:pPr>
      <w:r>
        <w:t xml:space="preserve">7.1 The jurisdiction compliance gap</w:t>
      </w:r>
    </w:p>
    <w:p>
      <w:pPr>
        <w:pStyle w:val="FirstParagraph"/>
      </w:pPr>
      <w:r>
        <w:t xml:space="preserve">The most significant finding of this study is the existence of the</w:t>
      </w:r>
      <w:r>
        <w:t xml:space="preserve"> </w:t>
      </w:r>
      <w:r>
        <w:rPr>
          <w:b/>
          <w:bCs/>
        </w:rPr>
        <w:t xml:space="preserve">jurisdiction compliance gap</w:t>
      </w:r>
      <w:r>
        <w:t xml:space="preserve">, defined as follows:</w:t>
      </w:r>
    </w:p>
    <w:p>
      <w:pPr>
        <w:pStyle w:val="BlockText"/>
      </w:pPr>
      <w:r>
        <w:rPr>
          <w:b/>
          <w:bCs/>
        </w:rPr>
        <w:t xml:space="preserve">Jurisdiction compliance gap.</w:t>
      </w:r>
      <w:r>
        <w:t xml:space="preserve"> </w:t>
      </w:r>
      <w:r>
        <w:t xml:space="preserve">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p>
    <w:p>
      <w:pPr>
        <w:pStyle w:val="FirstParagraph"/>
      </w:pPr>
      <w:r>
        <w:t xml:space="preserve">Even where international code calculations produce a clean pass, the KOSHA RAG layer can identify additional Korean-jurisdiction compliance requirements. This occurs because ASME, API, and analogous international standards define</w:t>
      </w:r>
      <w:r>
        <w:t xml:space="preserve"> </w:t>
      </w:r>
      <w:r>
        <w:rPr>
          <w:b/>
          <w:bCs/>
        </w:rPr>
        <w:t xml:space="preserve">technical</w:t>
      </w:r>
      <w:r>
        <w:t xml:space="preserve"> </w:t>
      </w:r>
      <w:r>
        <w:t xml:space="preserve">calculation requirements, whereas KOSHA guidelines and Korean safety regulations — including Article 256 of the</w:t>
      </w:r>
      <w:r>
        <w:t xml:space="preserve"> </w:t>
      </w:r>
      <w:r>
        <w:rPr>
          <w:i/>
          <w:iCs/>
        </w:rPr>
        <w:t xml:space="preserve">Rules on Occupational Safety and Health Standards</w:t>
      </w:r>
      <w:r>
        <w:t xml:space="preserve"> </w:t>
      </w:r>
      <w:r>
        <w:t xml:space="preserve">— impose</w:t>
      </w:r>
      <w:r>
        <w:t xml:space="preserve"> </w:t>
      </w:r>
      <w:r>
        <w:rPr>
          <w:b/>
          <w:bCs/>
        </w:rPr>
        <w:t xml:space="preserve">procedural, documentation, and trigger-driven</w:t>
      </w:r>
      <w:r>
        <w:t xml:space="preserve"> </w:t>
      </w:r>
      <w:r>
        <w:t xml:space="preserve">obligations conditioned on calculation outputs but not encoded within the international standards themselves. The gap is structurally present whether the calculation arises from a design-phase check or an in-service inspection assessment.</w:t>
      </w:r>
    </w:p>
    <w:bookmarkEnd w:id="56"/>
    <w:bookmarkStart w:id="57" w:name="Xab6664ad8af9c4c62e6be091d71c0a06171b422"/>
    <w:p>
      <w:pPr>
        <w:pStyle w:val="Heading3"/>
      </w:pPr>
      <w:r>
        <w:t xml:space="preserve">7.2 Compliance co-pilot, not replacement: HAZOP / RBI / Digital Twin / Regulatory RAG</w:t>
      </w:r>
    </w:p>
    <w:p>
      <w:pPr>
        <w:pStyle w:val="FirstParagraph"/>
      </w:pPr>
      <w:r>
        <w:t xml:space="preserve">A persistent risk in publishing AI-assisted safety tooling is the implicit suggestion that the tool replaces an existing human or workshop-based method. We make the opposite claim explicitly. The framework is positioned as a</w:t>
      </w:r>
      <w:r>
        <w:t xml:space="preserve"> </w:t>
      </w:r>
      <w:r>
        <w:rPr>
          <w:b/>
          <w:bCs/>
        </w:rPr>
        <w:t xml:space="preserve">compliance co-pilot</w:t>
      </w:r>
      <w:r>
        <w:t xml:space="preserve"> </w:t>
      </w:r>
      <w:r>
        <w:t xml:space="preserve">to existing methods; Table 8 contrasts it with HAZOP, RBI, and Digital Twin.</w:t>
      </w:r>
    </w:p>
    <w:p>
      <w:pPr>
        <w:pStyle w:val="Body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odyText"/>
      </w:pPr>
      <w:r>
        <w:t xml:space="preserve">The four operational touchpoints are:</w:t>
      </w:r>
    </w:p>
    <w:p>
      <w:pPr>
        <w:pStyle w:val="Compact"/>
        <w:numPr>
          <w:ilvl w:val="0"/>
          <w:numId w:val="1002"/>
        </w:numPr>
      </w:pPr>
      <w:r>
        <w:rPr>
          <w:b/>
          <w:bCs/>
        </w:rPr>
        <w:t xml:space="preserve">Before HAZOP</w:t>
      </w:r>
      <w:r>
        <w:t xml:space="preserve"> </w:t>
      </w:r>
      <w:r>
        <w:t xml:space="preserve">— identify mandatory regulatory nodes that the workshop must address.</w:t>
      </w:r>
    </w:p>
    <w:p>
      <w:pPr>
        <w:pStyle w:val="Compact"/>
        <w:numPr>
          <w:ilvl w:val="0"/>
          <w:numId w:val="1002"/>
        </w:numPr>
      </w:pPr>
      <w:r>
        <w:rPr>
          <w:b/>
          <w:bCs/>
        </w:rPr>
        <w:t xml:space="preserve">During design review</w:t>
      </w:r>
      <w:r>
        <w:t xml:space="preserve"> </w:t>
      </w:r>
      <w:r>
        <w:t xml:space="preserve">— detect missing legal requirements before the design freezes.</w:t>
      </w:r>
    </w:p>
    <w:p>
      <w:pPr>
        <w:pStyle w:val="Compact"/>
        <w:numPr>
          <w:ilvl w:val="0"/>
          <w:numId w:val="1002"/>
        </w:numPr>
      </w:pPr>
      <w:r>
        <w:rPr>
          <w:b/>
          <w:bCs/>
        </w:rPr>
        <w:t xml:space="preserve">During RBI</w:t>
      </w:r>
      <w:r>
        <w:t xml:space="preserve"> </w:t>
      </w:r>
      <w:r>
        <w:t xml:space="preserve">— check whether local inspection triggers are satisfied beyond the API calendar.</w:t>
      </w:r>
    </w:p>
    <w:p>
      <w:pPr>
        <w:pStyle w:val="Compact"/>
        <w:numPr>
          <w:ilvl w:val="0"/>
          <w:numId w:val="1002"/>
        </w:numPr>
      </w:pPr>
      <w:r>
        <w:rPr>
          <w:b/>
          <w:bCs/>
        </w:rPr>
        <w:t xml:space="preserve">During digital-twin operation</w:t>
      </w:r>
      <w:r>
        <w:t xml:space="preserve"> </w:t>
      </w:r>
      <w:r>
        <w:t xml:space="preserve">— flag live compliance gaps as plant state evolves.</w:t>
      </w:r>
    </w:p>
    <w:p>
      <w:pPr>
        <w:pStyle w:val="FirstParagraph"/>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Two roles bracket the temporal axis:</w:t>
      </w:r>
    </w:p>
    <w:p>
      <w:pPr>
        <w:pStyle w:val="BodyText"/>
      </w:pPr>
      <w:r>
        <w:rPr>
          <w:b/>
          <w:bCs/>
        </w:rPr>
        <w:t xml:space="preserve">Table 9. Auditor vs Advisor — temporal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When</w:t>
            </w:r>
          </w:p>
        </w:tc>
      </w:tr>
      <w:tr>
        <w:tc>
          <w:tcPr/>
          <w:p>
            <w:pPr>
              <w:pStyle w:val="Compact"/>
            </w:pPr>
            <w:r>
              <w:t xml:space="preserve">Auditor</w:t>
            </w:r>
          </w:p>
        </w:tc>
        <w:tc>
          <w:tcPr/>
          <w:p>
            <w:pPr>
              <w:pStyle w:val="Compact"/>
            </w:pPr>
            <w:r>
              <w:t xml:space="preserve">After work is done</w:t>
            </w:r>
          </w:p>
        </w:tc>
      </w:tr>
      <w:tr>
        <w:tc>
          <w:tcPr/>
          <w:p>
            <w:pPr>
              <w:pStyle w:val="Compact"/>
            </w:pPr>
            <w:r>
              <w:t xml:space="preserve">Advisor</w:t>
            </w:r>
          </w:p>
        </w:tc>
        <w:tc>
          <w:tcPr/>
          <w:p>
            <w:pPr>
              <w:pStyle w:val="Compact"/>
            </w:pPr>
            <w:r>
              <w:t xml:space="preserve">While work is being done</w:t>
            </w:r>
          </w:p>
        </w:tc>
      </w:tr>
    </w:tbl>
    <w:p>
      <w:pPr>
        <w:pStyle w:val="BodyText"/>
      </w:pPr>
      <w:r>
        <w:t xml:space="preserve">The proposed system supports both roles depending on where in the workflow it is invoked.</w:t>
      </w:r>
    </w:p>
    <w:bookmarkEnd w:id="57"/>
    <w:bookmarkStart w:id="58" w:name="X06bb7d75250e23719f7a8983769e657c0aee5f5"/>
    <w:p>
      <w:pPr>
        <w:pStyle w:val="Heading3"/>
      </w:pPr>
      <w:r>
        <w:t xml:space="preserve">7.3 HAZOP scope: knowledge-based / AI-assisted, not a replacement for dynamic HAZOP</w:t>
      </w:r>
    </w:p>
    <w:p>
      <w:pPr>
        <w:pStyle w:val="FirstParagraph"/>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bookmarkEnd w:id="58"/>
    <w:bookmarkStart w:id="59" w:name="fitness-for-service-vs-epc-standards"/>
    <w:p>
      <w:pPr>
        <w:pStyle w:val="Heading3"/>
      </w:pPr>
      <w:r>
        <w:t xml:space="preserve">7.4 Fitness-for-Service vs EPC standards</w:t>
      </w:r>
    </w:p>
    <w:p>
      <w:pPr>
        <w:pStyle w:val="FirstParagraph"/>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p>
    <w:bookmarkEnd w:id="59"/>
    <w:bookmarkStart w:id="60" w:name="process-safety-contribution"/>
    <w:p>
      <w:pPr>
        <w:pStyle w:val="Heading3"/>
      </w:pPr>
      <w:r>
        <w:t xml:space="preserve">7.5 Process-safety contribution</w:t>
      </w:r>
    </w:p>
    <w:p>
      <w:pPr>
        <w:pStyle w:val="FirstParagraph"/>
      </w:pPr>
      <w: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w:t>
      </w:r>
      <w:r>
        <w:t xml:space="preserve"> </w:t>
      </w:r>
      <w:r>
        <w:t xml:space="preserve">“compliant”</w:t>
      </w:r>
      <w:r>
        <w:t xml:space="preserve"> </w:t>
      </w:r>
      <w:r>
        <w:t xml:space="preserve">under current EPC review practice. An anonymised real-plant cryogenic flare-drum data sheet is run end-to-end through the pipeline in Appendix A (VES-REAL-001), confirming that the architecture handles real EPC inputs and surfaces a mandatory KOSHA provision (Article 266 — flare-path block-valve prohibition) for that service.</w:t>
      </w:r>
    </w:p>
    <w:bookmarkEnd w:id="60"/>
    <w:bookmarkStart w:id="61" w:name="reproducibility-and-explainability"/>
    <w:p>
      <w:pPr>
        <w:pStyle w:val="Heading3"/>
      </w:pPr>
      <w:r>
        <w:t xml:space="preserve">7.6 Reproducibility and explainability</w:t>
      </w:r>
    </w:p>
    <w:p>
      <w:pPr>
        <w:pStyle w:val="FirstParagraph"/>
      </w:pPr>
      <w:r>
        <w:t xml:space="preserve">The architecture prioritises reproducibility and explainability. Every major calculation step carries an explicit standard citation; every regulatory grounding carries a</w:t>
      </w:r>
      <w:r>
        <w:t xml:space="preserve"> </w:t>
      </w:r>
      <w:r>
        <w:rPr>
          <w:rStyle w:val="VerbatimChar"/>
        </w:rPr>
        <w:t xml:space="preserve">(reference_code, chunk_id)</w:t>
      </w:r>
      <w:r>
        <w:t xml:space="preserve"> </w:t>
      </w:r>
      <w:r>
        <w:t xml:space="preserve">traceable to the SQLite index; the golden dataset, the 60-scenario ablation set, the 50-query benchmark, and the orchestration scripts are publicly released, enabling independent replication on commodity hardware with CPU resources and an Ollama installation.</w:t>
      </w:r>
    </w:p>
    <w:p>
      <w:r>
        <w:pict>
          <v:rect style="width:0;height:1.5pt" o:hralign="center" o:hrstd="t" o:hr="t"/>
        </w:pict>
      </w:r>
    </w:p>
    <w:bookmarkEnd w:id="61"/>
    <w:bookmarkEnd w:id="62"/>
    <w:bookmarkStart w:id="63" w:name="limitations-and-future-work"/>
    <w:p>
      <w:pPr>
        <w:pStyle w:val="Heading2"/>
      </w:pPr>
      <w:r>
        <w:t xml:space="preserve">8. Limitations and Future Work</w:t>
      </w:r>
    </w:p>
    <w:p>
      <w:pPr>
        <w:pStyle w:val="FirstParagraph"/>
      </w:pPr>
      <w:r>
        <w:t xml:space="preserve">This study has the following limitations.</w:t>
      </w:r>
    </w:p>
    <w:p>
      <w:pPr>
        <w:pStyle w:val="Compact"/>
        <w:numPr>
          <w:ilvl w:val="0"/>
          <w:numId w:val="1003"/>
        </w:numPr>
      </w:pPr>
      <w:r>
        <w:rPr>
          <w:b/>
          <w:bCs/>
        </w:rPr>
        <w:t xml:space="preserve">Synthetic dataset.</w:t>
      </w:r>
      <w:r>
        <w:t xml:space="preserve"> </w:t>
      </w:r>
      <w:r>
        <w:t xml:space="preserve">The golden dataset is entirely synthetic; no external validation against real plant operating or design-phase data has been performed. The 220-case accuracy reported in §6.1 constitutes standards-faithful</w:t>
      </w:r>
      <w:r>
        <w:t xml:space="preserve"> </w:t>
      </w:r>
      <w:r>
        <w:rPr>
          <w:b/>
          <w:bCs/>
        </w:rPr>
        <w:t xml:space="preserve">implementation verification</w:t>
      </w:r>
      <w:r>
        <w:t xml:space="preserve">, not predictive validation against operating-record outcomes.</w:t>
      </w:r>
    </w:p>
    <w:p>
      <w:pPr>
        <w:pStyle w:val="Compact"/>
        <w:numPr>
          <w:ilvl w:val="0"/>
          <w:numId w:val="1003"/>
        </w:numPr>
      </w:pPr>
      <w:r>
        <w:rPr>
          <w:b/>
          <w:bCs/>
        </w:rPr>
        <w:t xml:space="preserve">Screening-level domain outputs.</w:t>
      </w:r>
      <w:r>
        <w:t xml:space="preserve"> </w:t>
      </w:r>
      <w:r>
        <w:t xml:space="preserve">Some domain outputs represent screening-level assessments and cannot substitute for detailed engineering design review.</w:t>
      </w:r>
    </w:p>
    <w:p>
      <w:pPr>
        <w:pStyle w:val="Compact"/>
        <w:numPr>
          <w:ilvl w:val="0"/>
          <w:numId w:val="1003"/>
        </w:numPr>
      </w:pPr>
      <w:r>
        <w:rPr>
          <w:b/>
          <w:bCs/>
        </w:rPr>
        <w:t xml:space="preserve">Curated retrieval benchmark.</w:t>
      </w:r>
      <w:r>
        <w:t xml:space="preserve"> </w:t>
      </w:r>
      <w:r>
        <w:t xml:space="preserve">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w:t>
      </w:r>
    </w:p>
    <w:p>
      <w:pPr>
        <w:pStyle w:val="Compact"/>
        <w:numPr>
          <w:ilvl w:val="0"/>
          <w:numId w:val="1003"/>
        </w:numPr>
      </w:pPr>
      <w:r>
        <w:rPr>
          <w:b/>
          <w:bCs/>
        </w:rPr>
        <w:t xml:space="preserve">Coupling pair coverage.</w:t>
      </w:r>
      <w:r>
        <w:t xml:space="preserve"> </w:t>
      </w:r>
      <w:r>
        <w:t xml:space="preserve">The cross-discipline coupling validation is limited to ten predefined domain pairs. Cross-discipline evidence is currently strongest in piping-vessel coupling (22 of 26 ablation detections) and should not yet be overgeneralized to all seven discipline pairs.</w:t>
      </w:r>
    </w:p>
    <w:p>
      <w:pPr>
        <w:pStyle w:val="Compact"/>
        <w:numPr>
          <w:ilvl w:val="0"/>
          <w:numId w:val="1003"/>
        </w:numPr>
      </w:pPr>
      <w:r>
        <w:rPr>
          <w:b/>
          <w:bCs/>
        </w:rPr>
        <w:t xml:space="preserve">Comparison scope.</w:t>
      </w:r>
      <w:r>
        <w:t xml:space="preserve"> </w:t>
      </w:r>
      <w:r>
        <w:t xml:space="preserve">The reported comparisons are an industry-baseline comparison (</w:t>
      </w:r>
      <w:r>
        <w:t xml:space="preserve">“ASME/API pass = compliance complete”</w:t>
      </w:r>
      <w:r>
        <w:t xml:space="preserve">) and internal ablations; no third-party head-to-head against a comparable KOSHA-aware multi-discipline system exists because, to our knowledge, no such system has been published.</w:t>
      </w:r>
    </w:p>
    <w:p>
      <w:pPr>
        <w:pStyle w:val="Compact"/>
        <w:numPr>
          <w:ilvl w:val="0"/>
          <w:numId w:val="1003"/>
        </w:numPr>
      </w:pPr>
      <w:r>
        <w:rPr>
          <w:b/>
          <w:bCs/>
        </w:rPr>
        <w:t xml:space="preserve">Twelve omitted law-article rows.</w:t>
      </w:r>
      <w:r>
        <w:t xml:space="preserve"> </w:t>
      </w:r>
      <w:r>
        <w:t xml:space="preserve">Twelve of 3,102 law-article rows were excluded from the index because their statutory body text was empty in the source API response. Triage of the twelve (</w:t>
      </w:r>
      <w:r>
        <w:rPr>
          <w:rStyle w:val="VerbatimChar"/>
        </w:rPr>
        <w:t xml:space="preserve">outputs/kosha_missing_articles_report.md</w:t>
      </w:r>
      <w:r>
        <w:t xml:space="preserve">) finds</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from the searchable index; the</w:t>
      </w:r>
      <w:r>
        <w:t xml:space="preserve"> </w:t>
      </w:r>
      <w:r>
        <w:rPr>
          <w:b/>
          <w:bCs/>
        </w:rPr>
        <w:t xml:space="preserve">remaining eight require a JS-rendered re-fetch</w:t>
      </w:r>
      <w:r>
        <w:t xml:space="preserve"> </w:t>
      </w:r>
      <w:r>
        <w:t xml:space="preserve">from the National Law Information Center (</w:t>
      </w:r>
      <w:r>
        <w:rPr>
          <w:rStyle w:val="VerbatimChar"/>
        </w:rPr>
        <w:t xml:space="preserve">law.go.kr/lsScJoRltInfoR.do</w:t>
      </w:r>
      <w:r>
        <w:t xml:space="preserve"> </w:t>
      </w:r>
      <w:r>
        <w:t xml:space="preserve">returns a single-page-application shell rather than the article body, and the KOSHA Smart-search endpoint cannot retrieve these specific records by</w:t>
      </w:r>
      <w:r>
        <w:t xml:space="preserve"> </w:t>
      </w:r>
      <w:r>
        <w:rPr>
          <w:rStyle w:val="VerbatimChar"/>
        </w:rPr>
        <w:t xml:space="preserve">doc_id</w:t>
      </w:r>
      <w:r>
        <w:t xml:space="preserve">). A Playwright-based scraper or migration to an alternate KOSHA OpenAPI endpoint that exposes article bodies by</w:t>
      </w:r>
      <w:r>
        <w:t xml:space="preserve"> </w:t>
      </w:r>
      <w:r>
        <w:rPr>
          <w:rStyle w:val="VerbatimChar"/>
        </w:rPr>
        <w:t xml:space="preserve">doc_id</w:t>
      </w:r>
      <w:r>
        <w:t xml:space="preserve"> </w:t>
      </w:r>
      <w:r>
        <w:t xml:space="preserve">is documented as the engineering follow-up; this is not a research limitation.</w:t>
      </w:r>
    </w:p>
    <w:p>
      <w:pPr>
        <w:pStyle w:val="Compact"/>
        <w:numPr>
          <w:ilvl w:val="0"/>
          <w:numId w:val="1003"/>
        </w:numPr>
      </w:pPr>
      <w:r>
        <w:rPr>
          <w:b/>
          <w:bCs/>
        </w:rPr>
        <w:t xml:space="preserve">Independent expert validation.</w:t>
      </w:r>
      <w:r>
        <w:t xml:space="preserve"> </w:t>
      </w:r>
      <w:r>
        <w:t xml:space="preserve">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p>
    <w:p>
      <w:pPr>
        <w:pStyle w:val="Compact"/>
        <w:numPr>
          <w:ilvl w:val="0"/>
          <w:numId w:val="1003"/>
        </w:numPr>
      </w:pPr>
      <w:r>
        <w:rPr>
          <w:b/>
          <w:bCs/>
        </w:rPr>
        <w:t xml:space="preserve">Per-discipline accuracy is self-consistency, not external fidelity.</w:t>
      </w:r>
      <w:r>
        <w:t xml:space="preserve"> </w:t>
      </w:r>
      <w:r>
        <w:t xml:space="preserve">The 1.0000 per-discipline accuracy in Appendix B.1 measures runtime conformance to expected outputs that were themselves generated by the same calculation engine. It is not external fidelity to a separately validated reference. The</w:t>
      </w:r>
      <w:r>
        <w:t xml:space="preserve"> </w:t>
      </w:r>
      <w:r>
        <w:t xml:space="preserve">“implementation verification, not predictive validation”</w:t>
      </w:r>
      <w:r>
        <w:t xml:space="preserve"> </w:t>
      </w:r>
      <w:r>
        <w:t xml:space="preserve">framing of §6.1 applies; field-data validation is documented under future research direction (1).</w:t>
      </w:r>
    </w:p>
    <w:p>
      <w:pPr>
        <w:pStyle w:val="FirstParagraph"/>
      </w:pPr>
      <w:r>
        <w:t xml:space="preserve">Future research directions include: (1)</w:t>
      </w:r>
      <w:r>
        <w:t xml:space="preserve"> </w:t>
      </w:r>
      <w:r>
        <w:rPr>
          <w:b/>
          <w:bCs/>
        </w:rPr>
        <w:t xml:space="preserve">field pilot validation</w:t>
      </w:r>
      <w:r>
        <w:t xml:space="preserve"> </w:t>
      </w:r>
      <w:r>
        <w:t xml:space="preserve">using real plant data — both design-phase engineering calculations and operating-plant inspection records — to calibrate synthetic thresholds and regulatory trigger conditions; (2)</w:t>
      </w:r>
      <w:r>
        <w:t xml:space="preserve"> </w:t>
      </w:r>
      <w:r>
        <w:rPr>
          <w:b/>
          <w:bCs/>
        </w:rPr>
        <w:t xml:space="preserve">integration with RBI and HAZOP workflows</w:t>
      </w:r>
      <w:r>
        <w:t xml:space="preserve"> </w:t>
      </w:r>
      <w:r>
        <w:t xml:space="preserve">to connect system outputs directly with existing PSM documentation; (3) transition to</w:t>
      </w:r>
      <w:r>
        <w:t xml:space="preserve"> </w:t>
      </w:r>
      <w:r>
        <w:rPr>
          <w:b/>
          <w:bCs/>
        </w:rPr>
        <w:t xml:space="preserve">semantic vector search</w:t>
      </w:r>
      <w:r>
        <w:t xml:space="preserve"> </w:t>
      </w:r>
      <w:r>
        <w:t xml:space="preserve">using a Korean embedding model in GPU-capable deployment environments; (4)</w:t>
      </w:r>
      <w:r>
        <w:t xml:space="preserve"> </w:t>
      </w:r>
      <w:r>
        <w:rPr>
          <w:b/>
          <w:bCs/>
        </w:rPr>
        <w:t xml:space="preserve">systematic expansion</w:t>
      </w:r>
      <w:r>
        <w:t xml:space="preserve"> </w:t>
      </w:r>
      <w:r>
        <w:t xml:space="preserve">of the cross-discipline coupling pair set beyond the current ten pairs; and (5) a dedicated</w:t>
      </w:r>
      <w:r>
        <w:t xml:space="preserve"> </w:t>
      </w:r>
      <w:r>
        <w:rPr>
          <w:b/>
          <w:bCs/>
        </w:rPr>
        <w:t xml:space="preserve">prospective study</w:t>
      </w:r>
      <w:r>
        <w:t xml:space="preserve"> </w:t>
      </w:r>
      <w:r>
        <w:t xml:space="preserve">comparing system-flagged regulatory obligations with the findings of independent KOSHA PSM auditors on the same plant package.</w:t>
      </w:r>
    </w:p>
    <w:p>
      <w:r>
        <w:pict>
          <v:rect style="width:0;height:1.5pt" o:hralign="center" o:hrstd="t" o:hr="t"/>
        </w:pict>
      </w:r>
    </w:p>
    <w:bookmarkEnd w:id="63"/>
    <w:bookmarkStart w:id="64" w:name="conclusion"/>
    <w:p>
      <w:pPr>
        <w:pStyle w:val="Heading2"/>
      </w:pPr>
      <w:r>
        <w:t xml:space="preserve">9. Conclusion</w:t>
      </w:r>
    </w:p>
    <w:p>
      <w:pPr>
        <w:pStyle w:val="FirstParagraph"/>
      </w:pPr>
      <w: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p>
    <w:p>
      <w:pPr>
        <w:pStyle w:val="BodyText"/>
      </w:pPr>
      <w:r>
        <w:t xml:space="preserve">The framework is positioned as a</w:t>
      </w:r>
      <w:r>
        <w:t xml:space="preserve"> </w:t>
      </w:r>
      <w:r>
        <w:rPr>
          <w:b/>
          <w:bCs/>
        </w:rPr>
        <w:t xml:space="preserve">compliance co-pilot</w:t>
      </w:r>
      <w:r>
        <w:t xml:space="preserve"> </w:t>
      </w:r>
      <w:r>
        <w:t xml:space="preserve">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p>
    <w:p>
      <w:r>
        <w:pict>
          <v:rect style="width:0;height:1.5pt" o:hralign="center" o:hrstd="t" o:hr="t"/>
        </w:pict>
      </w:r>
    </w:p>
    <w:bookmarkEnd w:id="64"/>
    <w:bookmarkStart w:id="65" w:name="acknowledgements"/>
    <w:p>
      <w:pPr>
        <w:pStyle w:val="Heading2"/>
      </w:pPr>
      <w:r>
        <w:t xml:space="preserve">Acknowledgements</w:t>
      </w:r>
    </w:p>
    <w:p>
      <w:pPr>
        <w:pStyle w:val="FirstParagraph"/>
      </w:pPr>
      <w:r>
        <w:t xml:space="preserve">The author thanks the Korea Occupational Safety and Health Agency for maintaining open access to the KOSHA Smart-search and KOSHA Guide APIs, without which the regulatory corpus could not have been assembled.</w:t>
      </w:r>
    </w:p>
    <w:p>
      <w:r>
        <w:pict>
          <v:rect style="width:0;height:1.5pt" o:hralign="center" o:hrstd="t" o:hr="t"/>
        </w:pict>
      </w:r>
    </w:p>
    <w:bookmarkEnd w:id="65"/>
    <w:bookmarkStart w:id="67" w:name="code-and-data-availability"/>
    <w:p>
      <w:pPr>
        <w:pStyle w:val="Heading2"/>
      </w:pPr>
      <w:r>
        <w:t xml:space="preserve">Code and Data Availability</w:t>
      </w:r>
    </w:p>
    <w:p>
      <w:pPr>
        <w:pStyle w:val="FirstParagraph"/>
      </w:pPr>
      <w:r>
        <w:t xml:space="preserve">Source code, golden datasets, the 60-scenario ablation set, the 50-query curated retrieval benchmark, the SQLite FTS5 index manifest, and the orchestration scripts are publicly released under the AGPL-3.0 license at</w:t>
      </w:r>
      <w:r>
        <w:t xml:space="preserve"> </w:t>
      </w:r>
      <w:hyperlink r:id="rId66">
        <w:r>
          <w:rPr>
            <w:rStyle w:val="Hyperlink"/>
          </w:rPr>
          <w:t xml:space="preserve">https://github.com/yuyongkim/did-you-check-kosha</w:t>
        </w:r>
      </w:hyperlink>
      <w:r>
        <w:t xml:space="preserve"> </w:t>
      </w:r>
      <w:r>
        <w:t xml:space="preserve">(revision tag:</w:t>
      </w:r>
      <w:r>
        <w:t xml:space="preserve"> </w:t>
      </w:r>
      <w:r>
        <w:rPr>
          <w:rStyle w:val="VerbatimChar"/>
        </w:rPr>
        <w:t xml:space="preserve">jlp-revised-v1</w:t>
      </w:r>
      <w:r>
        <w:t xml:space="preserve">). A detailed code-to-paper mapping is provided in</w:t>
      </w:r>
      <w:r>
        <w:t xml:space="preserve"> </w:t>
      </w:r>
      <w:r>
        <w:rPr>
          <w:rStyle w:val="VerbatimChar"/>
        </w:rPr>
        <w:t xml:space="preserve">docs/publication/CODE_MAP.md</w:t>
      </w:r>
      <w:r>
        <w:t xml:space="preserve">. The KOSHA regulatory snapshot was harvested on 2026-02-28 (UTC); the manifest is at</w:t>
      </w:r>
      <w:r>
        <w:t xml:space="preserve"> </w:t>
      </w:r>
      <w:r>
        <w:rPr>
          <w:rStyle w:val="VerbatimChar"/>
        </w:rPr>
        <w:t xml:space="preserve">datasets/kosha/manifest.json</w:t>
      </w:r>
      <w:r>
        <w:t xml:space="preserve">.</w:t>
      </w:r>
    </w:p>
    <w:p>
      <w:r>
        <w:pict>
          <v:rect style="width:0;height:1.5pt" o:hralign="center" o:hrstd="t" o:hr="t"/>
        </w:pict>
      </w:r>
    </w:p>
    <w:bookmarkEnd w:id="67"/>
    <w:bookmarkStart w:id="68" w:name="acronyms"/>
    <w:p>
      <w:pPr>
        <w:pStyle w:val="Heading2"/>
      </w:pPr>
      <w: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ACI</w:t>
            </w:r>
          </w:p>
        </w:tc>
        <w:tc>
          <w:tcPr/>
          <w:p>
            <w:pPr>
              <w:pStyle w:val="Compact"/>
            </w:pPr>
            <w:r>
              <w:t xml:space="preserve">American Concrete Institute</w:t>
            </w:r>
          </w:p>
        </w:tc>
      </w:tr>
      <w:tr>
        <w:tc>
          <w:tcPr/>
          <w:p>
            <w:pPr>
              <w:pStyle w:val="Compact"/>
            </w:pPr>
            <w:r>
              <w:t xml:space="preserve">AGPL</w:t>
            </w:r>
          </w:p>
        </w:tc>
        <w:tc>
          <w:tcPr/>
          <w:p>
            <w:pPr>
              <w:pStyle w:val="Compact"/>
            </w:pPr>
            <w:r>
              <w:t xml:space="preserve">Affero General Public License</w:t>
            </w:r>
          </w:p>
        </w:tc>
      </w:tr>
      <w:tr>
        <w:tc>
          <w:tcPr/>
          <w:p>
            <w:pPr>
              <w:pStyle w:val="Compact"/>
            </w:pPr>
            <w:r>
              <w:t xml:space="preserve">AISC</w:t>
            </w:r>
          </w:p>
        </w:tc>
        <w:tc>
          <w:tcPr/>
          <w:p>
            <w:pPr>
              <w:pStyle w:val="Compact"/>
            </w:pPr>
            <w:r>
              <w:t xml:space="preserve">American Institute of Steel Construction</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ASME</w:t>
            </w:r>
          </w:p>
        </w:tc>
        <w:tc>
          <w:tcPr/>
          <w:p>
            <w:pPr>
              <w:pStyle w:val="Compact"/>
            </w:pPr>
            <w:r>
              <w:t xml:space="preserve">American Society of Mechanical Engineers</w:t>
            </w:r>
          </w:p>
        </w:tc>
      </w:tr>
      <w:tr>
        <w:tc>
          <w:tcPr/>
          <w:p>
            <w:pPr>
              <w:pStyle w:val="Compact"/>
            </w:pPr>
            <w:r>
              <w:t xml:space="preserve">BM25</w:t>
            </w:r>
          </w:p>
        </w:tc>
        <w:tc>
          <w:tcPr/>
          <w:p>
            <w:pPr>
              <w:pStyle w:val="Compact"/>
            </w:pPr>
            <w:r>
              <w:t xml:space="preserve">Best Matching 25 (probabilistic ranking function)</w:t>
            </w:r>
          </w:p>
        </w:tc>
      </w:tr>
      <w:tr>
        <w:tc>
          <w:tcPr/>
          <w:p>
            <w:pPr>
              <w:pStyle w:val="Compact"/>
            </w:pPr>
            <w:r>
              <w:t xml:space="preserve">CR</w:t>
            </w:r>
          </w:p>
        </w:tc>
        <w:tc>
          <w:tcPr/>
          <w:p>
            <w:pPr>
              <w:pStyle w:val="Compact"/>
            </w:pPr>
            <w:r>
              <w:t xml:space="preserve">Corrosion Rate</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FTS5</w:t>
            </w:r>
          </w:p>
        </w:tc>
        <w:tc>
          <w:tcPr/>
          <w:p>
            <w:pPr>
              <w:pStyle w:val="Compact"/>
            </w:pPr>
            <w:r>
              <w:t xml:space="preserve">Full-Text Search v5 (SQLite)</w:t>
            </w:r>
          </w:p>
        </w:tc>
      </w:tr>
      <w:tr>
        <w:tc>
          <w:tcPr/>
          <w:p>
            <w:pPr>
              <w:pStyle w:val="Compact"/>
            </w:pPr>
            <w:r>
              <w:t xml:space="preserve">HAZOP</w:t>
            </w:r>
          </w:p>
        </w:tc>
        <w:tc>
          <w:tcPr/>
          <w:p>
            <w:pPr>
              <w:pStyle w:val="Compact"/>
            </w:pPr>
            <w:r>
              <w:t xml:space="preserve">Hazard and Operability Study</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IEEE</w:t>
            </w:r>
          </w:p>
        </w:tc>
        <w:tc>
          <w:tcPr/>
          <w:p>
            <w:pPr>
              <w:pStyle w:val="Compact"/>
            </w:pPr>
            <w:r>
              <w:t xml:space="preserve">Institute of Electrical and Electronics Engineers</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LLM</w:t>
            </w:r>
          </w:p>
        </w:tc>
        <w:tc>
          <w:tcPr/>
          <w:p>
            <w:pPr>
              <w:pStyle w:val="Compact"/>
            </w:pPr>
            <w:r>
              <w:t xml:space="preserve">Large Language Model</w:t>
            </w:r>
          </w:p>
        </w:tc>
      </w:tr>
      <w:tr>
        <w:tc>
          <w:tcPr/>
          <w:p>
            <w:pPr>
              <w:pStyle w:val="Compact"/>
            </w:pPr>
            <w:r>
              <w:t xml:space="preserve">MRR</w:t>
            </w:r>
          </w:p>
        </w:tc>
        <w:tc>
          <w:tcPr/>
          <w:p>
            <w:pPr>
              <w:pStyle w:val="Compact"/>
            </w:pPr>
            <w:r>
              <w:t xml:space="preserve">Mean Reciprocal Rank</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r>
        <w:tc>
          <w:tcPr/>
          <w:p>
            <w:pPr>
              <w:pStyle w:val="Compact"/>
            </w:pPr>
            <w:r>
              <w:t xml:space="preserve">RL</w:t>
            </w:r>
          </w:p>
        </w:tc>
        <w:tc>
          <w:tcPr/>
          <w:p>
            <w:pPr>
              <w:pStyle w:val="Compact"/>
            </w:pPr>
            <w:r>
              <w:t xml:space="preserve">Remaining Life</w:t>
            </w:r>
          </w:p>
        </w:tc>
      </w:tr>
    </w:tbl>
    <w:bookmarkEnd w:id="68"/>
    <w:bookmarkStart w:id="69" w:name="key-definitions"/>
    <w:p>
      <w:pPr>
        <w:pStyle w:val="Heading2"/>
      </w:pPr>
      <w:r>
        <w:t xml:space="preserve">Key Definitions</w:t>
      </w:r>
    </w:p>
    <w:p>
      <w:pPr>
        <w:pStyle w:val="Compact"/>
        <w:numPr>
          <w:ilvl w:val="0"/>
          <w:numId w:val="1004"/>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4"/>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4"/>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p>
    <w:p>
      <w:pPr>
        <w:pStyle w:val="Compact"/>
        <w:numPr>
          <w:ilvl w:val="0"/>
          <w:numId w:val="1004"/>
        </w:numPr>
      </w:pPr>
      <w:r>
        <w:rPr>
          <w:b/>
          <w:bCs/>
        </w:rPr>
        <w:t xml:space="preserve">Implementation verification</w:t>
      </w:r>
      <w:r>
        <w:t xml:space="preserve"> </w:t>
      </w:r>
      <w:r>
        <w:t xml:space="preserve">— confirmation that the system faithfully encodes the standards and rules it claims to implement, evaluated against cases derived from the same standards. Distinguished from</w:t>
      </w:r>
      <w:r>
        <w:t xml:space="preserve"> </w:t>
      </w:r>
      <w:r>
        <w:rPr>
          <w:b/>
          <w:bCs/>
        </w:rPr>
        <w:t xml:space="preserve">predictive validation</w:t>
      </w:r>
      <w:r>
        <w:t xml:space="preserve">, which would require performance assessment against independently sourced field data (§6.1).</w:t>
      </w:r>
    </w:p>
    <w:p>
      <w:pPr>
        <w:pStyle w:val="Compact"/>
        <w:numPr>
          <w:ilvl w:val="0"/>
          <w:numId w:val="1004"/>
        </w:numPr>
      </w:pPr>
      <w:r>
        <w:rPr>
          <w:b/>
          <w:bCs/>
        </w:rPr>
        <w:t xml:space="preserve">Compliance co-pilot</w:t>
      </w:r>
      <w:r>
        <w:t xml:space="preserve"> </w:t>
      </w:r>
      <w:r>
        <w:t xml:space="preserve">— operating mode in which the system supports, but does not replace, established methods (HAZOP, RBI, Digital Twin) by adding jurisdiction-specific regulatory obligations at four touchpoints (before HAZOP, design review, RBI, digital-twin operation) (§7.2).</w:t>
      </w:r>
    </w:p>
    <w:p>
      <w:pPr>
        <w:pStyle w:val="Compact"/>
        <w:numPr>
          <w:ilvl w:val="0"/>
          <w:numId w:val="1004"/>
        </w:numPr>
      </w:pPr>
      <w:r>
        <w:rPr>
          <w:b/>
          <w:bCs/>
        </w:rPr>
        <w:t xml:space="preserve">Mandatory vs Guidance</w:t>
      </w:r>
      <w:r>
        <w:t xml:space="preserve"> </w:t>
      </w:r>
      <w:r>
        <w:t xml:space="preserve">— regulatory class label attached to each retrieved KOSHA passage; mandatory = provisions of the Act, Enforcement Decree, or</w:t>
      </w:r>
      <w:r>
        <w:t xml:space="preserve"> </w:t>
      </w:r>
      <w:r>
        <w:rPr>
          <w:i/>
          <w:iCs/>
        </w:rPr>
        <w:t xml:space="preserve">Rules on Occupational Safety and Health Standards</w:t>
      </w:r>
      <w:r>
        <w:t xml:space="preserve">; guidance = KOSHA technical guidelines (§4.3).</w:t>
      </w:r>
    </w:p>
    <w:p>
      <w:r>
        <w:pict>
          <v:rect style="width:0;height:1.5pt" o:hralign="center" o:hrstd="t" o:hr="t"/>
        </w:pict>
      </w:r>
    </w:p>
    <w:bookmarkEnd w:id="69"/>
    <w:bookmarkStart w:id="76" w:name="Xceb22bef39ff670645289b7fb9b0af3b47b6fdb"/>
    <w:p>
      <w:pPr>
        <w:pStyle w:val="Heading2"/>
      </w:pPr>
      <w:r>
        <w:t xml:space="preserve">Appendix A. Real-Plant Data-Sheet Validation (VES-REAL-001)</w:t>
      </w:r>
    </w:p>
    <w:bookmarkStart w:id="70" w:name="a.1-anonymisation-policy-and-provenance"/>
    <w:p>
      <w:pPr>
        <w:pStyle w:val="Heading3"/>
      </w:pPr>
      <w:r>
        <w:t xml:space="preserve">A.1 Anonymisation policy and provenance</w:t>
      </w:r>
    </w:p>
    <w:p>
      <w:pPr>
        <w:pStyle w:val="FirstParagraph"/>
      </w:pPr>
      <w:r>
        <w:t xml:space="preserve">This appendix exercises the proposed framework against a real engineering data sheet drawn from an operating petrochemical project.</w:t>
      </w:r>
      <w:r>
        <w:t xml:space="preserve"> </w:t>
      </w:r>
      <w:r>
        <w:rPr>
          <w:b/>
          <w:bCs/>
        </w:rPr>
        <w:t xml:space="preserve">All client, contractor, licensor, personnel, location, project-name, document-ID, and equipment-tag identifiers were stripped before the data sheet was carried into this manuscript or any version-controlled artefact in the repository.</w:t>
      </w:r>
      <w:r>
        <w:t xml:space="preserve"> </w:t>
      </w:r>
      <w:r>
        <w:t xml:space="preserve">The case is referred to throughout this paper, the supporting scripts, and the JSON/Markdown evidence files only as</w:t>
      </w:r>
      <w:r>
        <w:t xml:space="preserve"> </w:t>
      </w:r>
      <w:r>
        <w:rPr>
          <w:rStyle w:val="VerbatimChar"/>
        </w:rPr>
        <w:t xml:space="preserve">VES-REAL-001</w:t>
      </w:r>
      <w:r>
        <w:t xml:space="preserve">.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w:t>
      </w:r>
      <w:r>
        <w:rPr>
          <w:rStyle w:val="VerbatimChar"/>
        </w:rPr>
        <w:t xml:space="preserve">docs/publication/submissions/Plant_data/</w:t>
      </w:r>
      <w:r>
        <w:t xml:space="preserve">, not part of the version-controlled paper bundle) and is not redistributed.</w:t>
      </w:r>
    </w:p>
    <w:bookmarkEnd w:id="70"/>
    <w:bookmarkStart w:id="71" w:name="a.2-anonymised-vessel-specification"/>
    <w:p>
      <w:pPr>
        <w:pStyle w:val="Heading3"/>
      </w:pPr>
      <w:r>
        <w:t xml:space="preserve">A.2 Anonymised vessel specification</w:t>
      </w:r>
    </w:p>
    <w:p>
      <w:pPr>
        <w:pStyle w:val="FirstParagraph"/>
      </w:pPr>
      <w:r>
        <w:t xml:space="preserve">The vessel under test is a cryogenic flare knockout drum.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Service</w:t>
            </w:r>
          </w:p>
        </w:tc>
        <w:tc>
          <w:tcPr/>
          <w:p>
            <w:pPr>
              <w:pStyle w:val="Compact"/>
            </w:pPr>
            <w:r>
              <w:t xml:space="preserve">cryogenic flare knockout drum (anonymised real-plant)</w:t>
            </w:r>
          </w:p>
        </w:tc>
      </w:tr>
      <w:tr>
        <w:tc>
          <w:tcPr/>
          <w:p>
            <w:pPr>
              <w:pStyle w:val="Compact"/>
            </w:pPr>
            <w:r>
              <w:t xml:space="preserve">Material — shell and heads</w:t>
            </w:r>
          </w:p>
        </w:tc>
        <w:tc>
          <w:tcPr/>
          <w:p>
            <w:pPr>
              <w:pStyle w:val="Compact"/>
            </w:pPr>
            <w:r>
              <w:t xml:space="preserve">SA-240 Type 304/304L (austenitic stainless, dual-cert)</w:t>
            </w:r>
          </w:p>
        </w:tc>
      </w:tr>
      <w:tr>
        <w:tc>
          <w:tcPr/>
          <w:p>
            <w:pPr>
              <w:pStyle w:val="Compact"/>
            </w:pPr>
            <w:r>
              <w:t xml:space="preserve">Design pressure</w:t>
            </w:r>
          </w:p>
        </w:tc>
        <w:tc>
          <w:tcPr/>
          <w:p>
            <w:pPr>
              <w:pStyle w:val="Compact"/>
            </w:pPr>
            <w:r>
              <w:t xml:space="preserve">3.5 kg/cm²(g) ≈ 0.343 MPa(g)</w:t>
            </w:r>
            <w:r>
              <w:t xml:space="preserve"> </w:t>
            </w:r>
            <w:r>
              <w:rPr>
                <w:b/>
                <w:bCs/>
              </w:rPr>
              <w:t xml:space="preserve">and Full Vacuum</w:t>
            </w:r>
          </w:p>
        </w:tc>
      </w:tr>
      <w:tr>
        <w:tc>
          <w:tcPr/>
          <w:p>
            <w:pPr>
              <w:pStyle w:val="Compact"/>
            </w:pPr>
            <w:r>
              <w:t xml:space="preserve">Design temperature</w:t>
            </w:r>
          </w:p>
        </w:tc>
        <w:tc>
          <w:tcPr/>
          <w:p>
            <w:pPr>
              <w:pStyle w:val="Compact"/>
            </w:pPr>
            <w:r>
              <w:t xml:space="preserve">190 °C / -190 °C (dual range)</w:t>
            </w:r>
          </w:p>
        </w:tc>
      </w:tr>
      <w:tr>
        <w:tc>
          <w:tcPr/>
          <w:p>
            <w:pPr>
              <w:pStyle w:val="Compact"/>
            </w:pPr>
            <w:r>
              <w:t xml:space="preserve">Operating P / T</w:t>
            </w:r>
          </w:p>
        </w:tc>
        <w:tc>
          <w:tcPr/>
          <w:p>
            <w:pPr>
              <w:pStyle w:val="Compact"/>
            </w:pPr>
            <w:r>
              <w:t xml:space="preserve">1.5 kg/cm²(g) / 15.3 °C / -90.5 °C</w:t>
            </w:r>
          </w:p>
        </w:tc>
      </w:tr>
      <w:tr>
        <w:tc>
          <w:tcPr/>
          <w:p>
            <w:pPr>
              <w:pStyle w:val="Compact"/>
            </w:pPr>
            <w:r>
              <w:t xml:space="preserve">Inside diameter</w:t>
            </w:r>
          </w:p>
        </w:tc>
        <w:tc>
          <w:tcPr/>
          <w:p>
            <w:pPr>
              <w:pStyle w:val="Compact"/>
            </w:pPr>
            <w:r>
              <w:t xml:space="preserve">5,000 mm (R = 2,500 mm)</w:t>
            </w:r>
          </w:p>
        </w:tc>
      </w:tr>
      <w:tr>
        <w:tc>
          <w:tcPr/>
          <w:p>
            <w:pPr>
              <w:pStyle w:val="Compact"/>
            </w:pPr>
            <w:r>
              <w:t xml:space="preserve">Tangent-to-tangent length</w:t>
            </w:r>
          </w:p>
        </w:tc>
        <w:tc>
          <w:tcPr/>
          <w:p>
            <w:pPr>
              <w:pStyle w:val="Compact"/>
            </w:pPr>
            <w:r>
              <w:t xml:space="preserve">20,400 mm</w:t>
            </w:r>
          </w:p>
        </w:tc>
      </w:tr>
      <w:tr>
        <w:tc>
          <w:tcPr/>
          <w:p>
            <w:pPr>
              <w:pStyle w:val="Compact"/>
            </w:pPr>
            <w:r>
              <w:t xml:space="preserve">Corrosion allowance</w:t>
            </w:r>
          </w:p>
        </w:tc>
        <w:tc>
          <w:tcPr/>
          <w:p>
            <w:pPr>
              <w:pStyle w:val="Compact"/>
            </w:pPr>
            <w:r>
              <w:t xml:space="preserve">NIL (0 mm)</w:t>
            </w:r>
          </w:p>
        </w:tc>
      </w:tr>
      <w:tr>
        <w:tc>
          <w:tcPr/>
          <w:p>
            <w:pPr>
              <w:pStyle w:val="Compact"/>
            </w:pPr>
            <w:r>
              <w:t xml:space="preserve">Joint efficiency</w:t>
            </w:r>
          </w:p>
        </w:tc>
        <w:tc>
          <w:tcPr/>
          <w:p>
            <w:pPr>
              <w:pStyle w:val="Compact"/>
            </w:pPr>
            <w:r>
              <w:rPr>
                <w:b/>
                <w:bCs/>
              </w:rPr>
              <w:t xml:space="preserve">Not stated on the data sheet — assumed E = 1.0</w:t>
            </w:r>
            <w:r>
              <w:t xml:space="preserve"> </w:t>
            </w:r>
            <w:r>
              <w:t xml:space="preserve">corresponding to full radiography per ASME Section VIII Div.1 UW-12, conventional for flare-service vessels (assumption explicit; see §A.4)</w:t>
            </w:r>
          </w:p>
        </w:tc>
      </w:tr>
      <w:tr>
        <w:tc>
          <w:tcPr/>
          <w:p>
            <w:pPr>
              <w:pStyle w:val="Compact"/>
            </w:pPr>
            <w:r>
              <w:t xml:space="preserve">Liquid specific gravity</w:t>
            </w:r>
          </w:p>
        </w:tc>
        <w:tc>
          <w:tcPr/>
          <w:p>
            <w:pPr>
              <w:pStyle w:val="Compact"/>
            </w:pPr>
            <w:r>
              <w:t xml:space="preserve">0.61</w:t>
            </w:r>
          </w:p>
        </w:tc>
      </w:tr>
    </w:tbl>
    <w:p>
      <w:pPr>
        <w:pStyle w:val="BodyText"/>
      </w:pPr>
      <w:r>
        <w:rPr>
          <w:b/>
          <w:bCs/>
        </w:rPr>
        <w:t xml:space="preserve">Source of all numbers below:</w:t>
      </w:r>
      <w:r>
        <w:t xml:space="preserve"> </w:t>
      </w:r>
      <w:r>
        <w:rPr>
          <w:rStyle w:val="VerbatimChar"/>
        </w:rPr>
        <w:t xml:space="preserve">outputs/real_case_ves001_rag.json</w:t>
      </w:r>
      <w:r>
        <w:t xml:space="preserve"> </w:t>
      </w:r>
      <w:r>
        <w:t xml:space="preserve">produced by</w:t>
      </w:r>
      <w:r>
        <w:t xml:space="preserve"> </w:t>
      </w:r>
      <w:r>
        <w:rPr>
          <w:rStyle w:val="VerbatimChar"/>
        </w:rPr>
        <w:t xml:space="preserve">scripts/run_real_case_ves001_rag.py</w:t>
      </w:r>
      <w:r>
        <w:t xml:space="preserve">. No number in this appendix has been edited by hand.</w:t>
      </w:r>
    </w:p>
    <w:bookmarkEnd w:id="71"/>
    <w:bookmarkStart w:id="72" w:name="a.3-calculation-engine-output"/>
    <w:p>
      <w:pPr>
        <w:pStyle w:val="Heading3"/>
      </w:pPr>
      <w:r>
        <w:t xml:space="preserve">A.3 Calculation-engine output</w:t>
      </w:r>
    </w:p>
    <w:p>
      <w:pPr>
        <w:pStyle w:val="FirstParagraph"/>
      </w:pPr>
      <w:r>
        <w:t xml:space="preserve">The cryogenic side (-190 °C) is outside the input-validation range of the deployed Layer-1 schema (</w:t>
      </w:r>
      <w:r>
        <w:rPr>
          <w:rStyle w:val="VerbatimChar"/>
        </w:rPr>
        <w:t xml:space="preserve">-50 °C ≤ design_temperature_c ≤ 650 °C</w:t>
      </w:r>
      <w:r>
        <w:t xml:space="preserve">). The full four-layer engine is therefore run on the +190 °C side; the cryogenic side is treated by directly invoking the underlying ASME Section VIII Div.1 UG-27 routine (</w:t>
      </w:r>
      <w:r>
        <w:rPr>
          <w:rStyle w:val="VerbatimChar"/>
        </w:rPr>
        <w:t xml:space="preserve">src/vessel/calculations.py :: calculate_required_shell_thickness_mm</w:t>
      </w:r>
      <w:r>
        <w:t xml:space="preserve">)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p>
    <w:p>
      <w:pPr>
        <w:pStyle w:val="BodyText"/>
      </w:pPr>
      <w:r>
        <w:rPr>
          <w:b/>
          <w:bCs/>
        </w:rPr>
        <w:t xml:space="preserve">Direct UG-27 results (formula</w:t>
      </w:r>
      <w:r>
        <w:rPr>
          <w:b/>
          <w:bCs/>
        </w:rPr>
        <w:t xml:space="preserve"> </w:t>
      </w:r>
      <w:r>
        <w:rPr>
          <w:rStyle w:val="VerbatimChar"/>
          <w:b/>
          <w:bCs/>
        </w:rPr>
        <w:t xml:space="preserve">t = (P·R) / (S·E - 0.6·P) + CA</w:t>
      </w:r>
      <w:r>
        <w:rPr>
          <w:b/>
          <w:bCs/>
        </w:rPr>
        <w:t xml:space="preserv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Side</w:t>
            </w:r>
          </w:p>
        </w:tc>
        <w:tc>
          <w:tcPr/>
          <w:p>
            <w:pPr>
              <w:pStyle w:val="Compact"/>
              <w:jc w:val="right"/>
            </w:pPr>
            <w:r>
              <w:t xml:space="preserve">Allowable stress S (MPa)</w:t>
            </w:r>
          </w:p>
        </w:tc>
        <w:tc>
          <w:tcPr/>
          <w:p>
            <w:pPr>
              <w:pStyle w:val="Compact"/>
              <w:jc w:val="right"/>
            </w:pPr>
            <w:r>
              <w:t xml:space="preserve">t_required_shell (mm)</w:t>
            </w:r>
          </w:p>
        </w:tc>
        <w:tc>
          <w:tcPr/>
          <w:p>
            <w:pPr>
              <w:pStyle w:val="Compact"/>
              <w:jc w:val="right"/>
            </w:pPr>
            <w:r>
              <w:t xml:space="preserve">Reverse pressure (MPa)</w:t>
            </w:r>
          </w:p>
        </w:tc>
        <w:tc>
          <w:tcPr/>
          <w:p>
            <w:pPr>
              <w:pStyle w:val="Compact"/>
              <w:jc w:val="right"/>
            </w:pPr>
            <w:r>
              <w:t xml:space="preserve">Reverse deviation (%)</w:t>
            </w:r>
          </w:p>
        </w:tc>
      </w:tr>
      <w:tr>
        <w:tc>
          <w:tcPr/>
          <w:p>
            <w:pPr>
              <w:pStyle w:val="Compact"/>
            </w:pPr>
            <w:r>
              <w:t xml:space="preserve">Hot (+190 °C)</w:t>
            </w:r>
          </w:p>
        </w:tc>
        <w:tc>
          <w:tcPr/>
          <w:p>
            <w:pPr>
              <w:pStyle w:val="Compact"/>
              <w:jc w:val="right"/>
            </w:pPr>
            <w:r>
              <w:t xml:space="preserve">118.700</w:t>
            </w:r>
          </w:p>
        </w:tc>
        <w:tc>
          <w:tcPr/>
          <w:p>
            <w:pPr>
              <w:pStyle w:val="Compact"/>
              <w:jc w:val="right"/>
            </w:pPr>
            <w:r>
              <w:rPr>
                <w:b/>
                <w:bCs/>
              </w:rPr>
              <w:t xml:space="preserve">7.237</w:t>
            </w:r>
          </w:p>
        </w:tc>
        <w:tc>
          <w:tcPr/>
          <w:p>
            <w:pPr>
              <w:pStyle w:val="Compact"/>
              <w:jc w:val="right"/>
            </w:pPr>
            <w:r>
              <w:t xml:space="preserve">0.3430</w:t>
            </w:r>
          </w:p>
        </w:tc>
        <w:tc>
          <w:tcPr/>
          <w:p>
            <w:pPr>
              <w:pStyle w:val="Compact"/>
              <w:jc w:val="right"/>
            </w:pPr>
            <w:r>
              <w:t xml:space="preserve">&lt; 1×10⁻¹³</w:t>
            </w:r>
          </w:p>
        </w:tc>
      </w:tr>
      <w:tr>
        <w:tc>
          <w:tcPr/>
          <w:p>
            <w:pPr>
              <w:pStyle w:val="Compact"/>
            </w:pPr>
            <w:r>
              <w:t xml:space="preserve">Cold (-190 °C, S@20 °C)</w:t>
            </w:r>
          </w:p>
        </w:tc>
        <w:tc>
          <w:tcPr/>
          <w:p>
            <w:pPr>
              <w:pStyle w:val="Compact"/>
              <w:jc w:val="right"/>
            </w:pPr>
            <w:r>
              <w:t xml:space="preserve">132.000</w:t>
            </w:r>
          </w:p>
        </w:tc>
        <w:tc>
          <w:tcPr/>
          <w:p>
            <w:pPr>
              <w:pStyle w:val="Compact"/>
              <w:jc w:val="right"/>
            </w:pPr>
            <w:r>
              <w:t xml:space="preserve">6.506</w:t>
            </w:r>
          </w:p>
        </w:tc>
        <w:tc>
          <w:tcPr/>
          <w:p>
            <w:pPr>
              <w:pStyle w:val="Compact"/>
              <w:jc w:val="right"/>
            </w:pPr>
            <w:r>
              <w:t xml:space="preserve">0.3430</w:t>
            </w:r>
          </w:p>
        </w:tc>
        <w:tc>
          <w:tcPr/>
          <w:p>
            <w:pPr>
              <w:pStyle w:val="Compact"/>
              <w:jc w:val="right"/>
            </w:pPr>
            <w:r>
              <w:t xml:space="preserve">0.0000</w:t>
            </w:r>
          </w:p>
        </w:tc>
      </w:tr>
    </w:tbl>
    <w:p>
      <w:pPr>
        <w:pStyle w:val="BodyText"/>
      </w:pPr>
      <w:r>
        <w:t xml:space="preserve">The hot side governs:</w:t>
      </w:r>
      <w:r>
        <w:t xml:space="preserve"> </w:t>
      </w:r>
      <w:r>
        <w:rPr>
          <w:b/>
          <w:bCs/>
        </w:rPr>
        <w:t xml:space="preserve">the controlling required shell thickness is 7.237 mm.</w:t>
      </w:r>
      <w:r>
        <w:t xml:space="preserve"> </w:t>
      </w:r>
      <w:r>
        <w:t xml:space="preserve">The Layer-4 reverse-pressure check returns the design pressure to within machine epsilon (deviation &lt; 0.001 %), as expected for an internally consistent UG-27 forward/reverse pair.</w:t>
      </w:r>
    </w:p>
    <w:p>
      <w:pPr>
        <w:pStyle w:val="BodyText"/>
      </w:pPr>
      <w:r>
        <w:rPr>
          <w:b/>
          <w:bCs/>
        </w:rPr>
        <w:t xml:space="preserve">Engine full-run hot-side dimensional metrics</w:t>
      </w:r>
      <w:r>
        <w:t xml:space="preserve"> </w:t>
      </w:r>
      <w:r>
        <w:t xml:space="preserve">(E = 1.0; horizontal drum; 2:1 ellipsoidal heads default):</w:t>
      </w:r>
    </w:p>
    <w:p>
      <w:pPr>
        <w:pStyle w:val="Compact"/>
        <w:numPr>
          <w:ilvl w:val="0"/>
          <w:numId w:val="1005"/>
        </w:numPr>
      </w:pPr>
      <w:r>
        <w:t xml:space="preserve">diameter = 5,000.0 mm; governing span = 20,400.0 mm; head-depth (default) = 1,250.0 mm</w:t>
      </w:r>
    </w:p>
    <w:p>
      <w:pPr>
        <w:pStyle w:val="Compact"/>
        <w:numPr>
          <w:ilvl w:val="0"/>
          <w:numId w:val="1005"/>
        </w:numPr>
      </w:pPr>
      <w:r>
        <w:t xml:space="preserve">shell surface area = 320.442 m²; estimated internal volume = 433.278 m³</w:t>
      </w:r>
    </w:p>
    <w:p>
      <w:pPr>
        <w:pStyle w:val="Compact"/>
        <w:numPr>
          <w:ilvl w:val="0"/>
          <w:numId w:val="1005"/>
        </w:numPr>
      </w:pPr>
      <w:r>
        <w:t xml:space="preserve">slenderness L/D = 4.08 (no high-L/D warning)</w:t>
      </w:r>
    </w:p>
    <w:p>
      <w:pPr>
        <w:pStyle w:val="Compact"/>
        <w:numPr>
          <w:ilvl w:val="0"/>
          <w:numId w:val="1005"/>
        </w:numPr>
      </w:pPr>
      <w:r>
        <w:t xml:space="preserve">screening confidence =</w:t>
      </w:r>
      <w:r>
        <w:t xml:space="preserve"> </w:t>
      </w:r>
      <w:r>
        <w:rPr>
          <w:rStyle w:val="VerbatimChar"/>
        </w:rPr>
        <w:t xml:space="preserve">medium</w:t>
      </w:r>
      <w:r>
        <w:t xml:space="preserve">; flags =</w:t>
      </w:r>
      <w:r>
        <w:t xml:space="preserve"> </w:t>
      </w:r>
      <w:r>
        <w:rPr>
          <w:rStyle w:val="VerbatimChar"/>
        </w:rPr>
        <w:t xml:space="preserve">{red_flags: [], warnings: ['DATA.VESSEL_DIMENSION_CONTEXT_MISSING']}</w:t>
      </w:r>
      <w:r>
        <w:t xml:space="preserve"> </w:t>
      </w:r>
      <w:r>
        <w:t xml:space="preserve">— the warning is raised because the data sheet does not state the head depth; the engine substituted its 2:1-ellipsoidal default</w:t>
      </w:r>
    </w:p>
    <w:p>
      <w:pPr>
        <w:pStyle w:val="Compact"/>
        <w:numPr>
          <w:ilvl w:val="0"/>
          <w:numId w:val="1005"/>
        </w:numPr>
      </w:pPr>
      <w:r>
        <w:t xml:space="preserve">FFS / remaining-life screening fields are</w:t>
      </w:r>
      <w:r>
        <w:t xml:space="preserve"> </w:t>
      </w:r>
      <w:r>
        <w:rPr>
          <w:i/>
          <w:iCs/>
        </w:rPr>
        <w:t xml:space="preserve">not reported here</w:t>
      </w:r>
      <w:r>
        <w:t xml:space="preserve">: a plausible</w:t>
      </w:r>
      <w:r>
        <w:t xml:space="preserve"> </w:t>
      </w:r>
      <w:r>
        <w:rPr>
          <w:rStyle w:val="VerbatimChar"/>
        </w:rPr>
        <w:t xml:space="preserve">current_thickness_mm</w:t>
      </w:r>
      <w:r>
        <w:t xml:space="preserve"> </w:t>
      </w:r>
      <w:r>
        <w:t xml:space="preserve">was supplied only because the engine schema requires a positive value, and using it would inject a non-data-sheet number into a manuscript table. The script flags this caveat explicitly.</w:t>
      </w:r>
    </w:p>
    <w:p>
      <w:pPr>
        <w:pStyle w:val="FirstParagraph"/>
      </w:pPr>
      <w:r>
        <w:rPr>
          <w:b/>
          <w:bCs/>
        </w:rPr>
        <w:t xml:space="preserve">Engine full-run cold-side outcome.</w:t>
      </w:r>
      <w:r>
        <w:t xml:space="preserve"> </w:t>
      </w:r>
      <w:r>
        <w:t xml:space="preserve">As expected, Layer-1 returns the red flag</w:t>
      </w:r>
      <w:r>
        <w:t xml:space="preserve"> </w:t>
      </w:r>
      <w:r>
        <w:rPr>
          <w:rStyle w:val="VerbatimChar"/>
        </w:rPr>
        <w:t xml:space="preserve">STD.OUT_OF_SCOPE_APPLICATION</w:t>
      </w:r>
      <w:r>
        <w:t xml:space="preserve"> </w:t>
      </w:r>
      <w:r>
        <w:t xml:space="preserve">(</w:t>
      </w:r>
      <w:r>
        <w:t xml:space="preserve">“Temperature out of range: -190.0”</w:t>
      </w:r>
      <w:r>
        <w:t xml:space="preserve">) together with the dimension-context warning above. The cold-side response is therefore not used for thickness sizing in this appendix; the directly-computed UG-27 number (6.506 mm) is used instead.</w:t>
      </w:r>
    </w:p>
    <w:bookmarkEnd w:id="72"/>
    <w:bookmarkStart w:id="73" w:name="X8732cf3cf7268cce07306d7198b15d77aaa50b2"/>
    <w:p>
      <w:pPr>
        <w:pStyle w:val="Heading3"/>
      </w:pPr>
      <w:r>
        <w:t xml:space="preserve">A.4 KOSHA RAG retrieval — both query variants</w:t>
      </w:r>
    </w:p>
    <w:p>
      <w:pPr>
        <w:pStyle w:val="FirstParagraph"/>
      </w:pPr>
      <w:r>
        <w:t xml:space="preserve">Two query variants were issued through the same retrieval code path used in the rest of the paper (</w:t>
      </w:r>
      <w:r>
        <w:rPr>
          <w:rStyle w:val="VerbatimChar"/>
        </w:rPr>
        <w:t xml:space="preserve">src.rag.local_kosha_rag.search_index</w:t>
      </w:r>
      <w:r>
        <w:t xml:space="preserve"> </w:t>
      </w:r>
      <w:r>
        <w:t xml:space="preserve">against the live SQLite FTS index).</w:t>
      </w:r>
    </w:p>
    <w:p>
      <w:pPr>
        <w:pStyle w:val="BodyText"/>
      </w:pPr>
      <w:r>
        <w:rPr>
          <w:b/>
          <w:bCs/>
        </w:rPr>
        <w:t xml:space="preserve">Variant A —</w:t>
      </w:r>
      <w:r>
        <w:rPr>
          <w:b/>
          <w:bCs/>
        </w:rPr>
        <w:t xml:space="preserve"> </w:t>
      </w:r>
      <w:r>
        <w:rPr>
          <w:rStyle w:val="VerbatimChar"/>
          <w:b/>
          <w:bCs/>
        </w:rPr>
        <w:t xml:space="preserve">generic_cryogenic_flare_drum_en</w:t>
      </w:r>
      <w:r>
        <w:rPr>
          <w:b/>
          <w:bCs/>
        </w:rPr>
        <w:t xml:space="preserve"> </w:t>
      </w:r>
      <w:r>
        <w:rPr>
          <w:b/>
          <w:bCs/>
        </w:rPr>
        <w:t xml:space="preserve">(discipline filter =</w:t>
      </w:r>
      <w:r>
        <w:rPr>
          <w:b/>
          <w:bCs/>
        </w:rPr>
        <w:t xml:space="preserve"> </w:t>
      </w:r>
      <w:r>
        <w:rPr>
          <w:rStyle w:val="VerbatimChar"/>
          <w:b/>
          <w:bCs/>
        </w:rPr>
        <w:t xml:space="preserve">vessel</w:t>
      </w:r>
      <w:r>
        <w:rPr>
          <w:b/>
          <w:bCs/>
        </w:rPr>
        <w:t xml:space="preserve">).</w:t>
      </w:r>
      <w:r>
        <w:t xml:space="preserve"> </w:t>
      </w:r>
      <w:r>
        <w:t xml:space="preserve">Spec-faithful natural query:</w:t>
      </w:r>
      <w:r>
        <w:t xml:space="preserve"> </w:t>
      </w:r>
      <w:r>
        <w:rPr>
          <w:i/>
          <w:iCs/>
        </w:rPr>
        <w:t xml:space="preserve">“cryogenic flare knockout drum austenitic stainless steel pressure vessel low temperature service full vacuum 압력용기 저온 플레어”</w:t>
      </w:r>
      <w:r>
        <w:t xml:space="preserve">. Returns 10/10 vessel-discipline hits:</w:t>
      </w:r>
      <w:r>
        <w:t xml:space="preserve"> </w:t>
      </w:r>
      <w:r>
        <w:rPr>
          <w:b/>
          <w:bCs/>
        </w:rPr>
        <w:t xml:space="preserve">2 mandatory law-article hits + 8 KOSHA technical guides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M-111-2015</w:t>
            </w:r>
          </w:p>
        </w:tc>
        <w:tc>
          <w:tcPr/>
          <w:p>
            <w:pPr>
              <w:pStyle w:val="Compact"/>
            </w:pPr>
            <w:r>
              <w:t xml:space="preserve">압력용기의 용접설계에 관한 기술지침 (Pressure Vessel Weld Design Technical Guide)</w:t>
            </w:r>
          </w:p>
        </w:tc>
      </w:tr>
      <w:tr>
        <w:tc>
          <w:tcPr/>
          <w:p>
            <w:pPr>
              <w:pStyle w:val="Compact"/>
              <w:jc w:val="right"/>
            </w:pPr>
            <w:r>
              <w:t xml:space="preserve">2</w:t>
            </w:r>
          </w:p>
        </w:tc>
        <w:tc>
          <w:tcPr/>
          <w:p>
            <w:pPr>
              <w:pStyle w:val="Compact"/>
            </w:pPr>
            <w:r>
              <w:t xml:space="preserve">mandatory</w:t>
            </w:r>
          </w:p>
        </w:tc>
        <w:tc>
          <w:tcPr/>
          <w:p>
            <w:pPr>
              <w:pStyle w:val="Compact"/>
            </w:pPr>
            <w:r>
              <w:rPr>
                <w:rStyle w:val="VerbatimChar"/>
              </w:rPr>
              <w:t xml:space="preserve">KOSHA05_안전검사 고시 제9조</w:t>
            </w:r>
          </w:p>
        </w:tc>
        <w:tc>
          <w:tcPr/>
          <w:p>
            <w:pPr>
              <w:pStyle w:val="Compact"/>
            </w:pPr>
            <w:r>
              <w:t xml:space="preserve">안전검사 고시 제9조 정의 (Safety Inspection Notification, Article 9 — Definitions)</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 (Pressure Vessel Remaining-Life Assessment Technical Guide)</w:t>
            </w:r>
          </w:p>
        </w:tc>
      </w:tr>
    </w:tbl>
    <w:p>
      <w:pPr>
        <w:pStyle w:val="BodyText"/>
      </w:pPr>
      <w:r>
        <w:rPr>
          <w:b/>
          <w:bCs/>
        </w:rPr>
        <w:t xml:space="preserve">Variant B —</w:t>
      </w:r>
      <w:r>
        <w:rPr>
          <w:b/>
          <w:bCs/>
        </w:rPr>
        <w:t xml:space="preserve"> </w:t>
      </w:r>
      <w:r>
        <w:rPr>
          <w:rStyle w:val="VerbatimChar"/>
          <w:b/>
          <w:bCs/>
        </w:rPr>
        <w:t xml:space="preserve">narrow_cryogenic_kr_terms</w:t>
      </w:r>
      <w:r>
        <w:rPr>
          <w:b/>
          <w:bCs/>
        </w:rPr>
        <w:t xml:space="preserve"> </w:t>
      </w:r>
      <w:r>
        <w:rPr>
          <w:b/>
          <w:bCs/>
        </w:rPr>
        <w:t xml:space="preserve">(no discipline filter).</w:t>
      </w:r>
      <w:r>
        <w:t xml:space="preserve"> </w:t>
      </w:r>
      <w:r>
        <w:t xml:space="preserve">Narrower probe:</w:t>
      </w:r>
      <w:r>
        <w:t xml:space="preserve"> </w:t>
      </w:r>
      <w:r>
        <w:rPr>
          <w:i/>
          <w:iCs/>
        </w:rPr>
        <w:t xml:space="preserve">“저온 cryogenic 플레어 flare 스테인리스 stainless 압력용기 산업안전보건 process safety”</w:t>
      </w:r>
      <w:r>
        <w:t xml:space="preserve">. Returns 10/10 hits:</w:t>
      </w:r>
      <w:r>
        <w:t xml:space="preserve"> </w:t>
      </w:r>
      <w:r>
        <w:rPr>
          <w:b/>
          <w:bCs/>
        </w:rPr>
        <w:t xml:space="preserve">1 mandatory law-article hit + 9 KOSHA guides / PSM technical-support documents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C-C-86-2026</w:t>
            </w:r>
          </w:p>
        </w:tc>
        <w:tc>
          <w:tcPr/>
          <w:p>
            <w:pPr>
              <w:pStyle w:val="Compact"/>
            </w:pPr>
            <w:r>
              <w:t xml:space="preserve">공정안전보고서 등의 통합서식 작성방법에 관한 기술지원규정 (PSM Integrated-Form Preparation Technical-Support Regulation)</w:t>
            </w:r>
          </w:p>
        </w:tc>
      </w:tr>
      <w:tr>
        <w:tc>
          <w:tcPr/>
          <w:p>
            <w:pPr>
              <w:pStyle w:val="Compact"/>
              <w:jc w:val="right"/>
            </w:pPr>
            <w:r>
              <w:t xml:space="preserve">2</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C-C-77-2026</w:t>
            </w:r>
          </w:p>
        </w:tc>
        <w:tc>
          <w:tcPr/>
          <w:p>
            <w:pPr>
              <w:pStyle w:val="Compact"/>
            </w:pPr>
            <w:r>
              <w:t xml:space="preserve">PSM 시스템의 효과적인 운전 규범에 관한 기술지원규정 (Effective PSM-System Operation Technical-Support Regulation)</w:t>
            </w:r>
          </w:p>
        </w:tc>
      </w:tr>
    </w:tbl>
    <w:p>
      <w:pPr>
        <w:pStyle w:val="BodyText"/>
      </w:pPr>
      <w:r>
        <w:t xml:space="preserve">The first mandatory hit in Variant B is at</w:t>
      </w:r>
      <w:r>
        <w:t xml:space="preserve"> </w:t>
      </w:r>
      <w:r>
        <w:rPr>
          <w:b/>
          <w:bCs/>
        </w:rPr>
        <w:t xml:space="preserve">rank 5</w:t>
      </w:r>
      <w:r>
        <w:t xml:space="preserve">:</w:t>
      </w:r>
      <w:r>
        <w:t xml:space="preserve"> </w:t>
      </w:r>
      <w:r>
        <w:rPr>
          <w:rStyle w:val="VerbatimChar"/>
        </w:rPr>
        <w:t xml:space="preserve">KOSHA04_002000002000004000000000266000</w:t>
      </w:r>
      <w:r>
        <w:t xml:space="preserve"> </w:t>
      </w:r>
      <w:r>
        <w:t xml:space="preserve">—</w:t>
      </w:r>
      <w:r>
        <w:t xml:space="preserve"> </w:t>
      </w:r>
      <w:r>
        <w:rPr>
          <w:b/>
          <w:bCs/>
        </w:rPr>
        <w:t xml:space="preserve">제266조 차단밸브의 설치 금지</w:t>
      </w:r>
      <w:r>
        <w:t xml:space="preserve"> </w:t>
      </w:r>
      <w:r>
        <w:t xml:space="preserve">(Article 266,</w:t>
      </w:r>
      <w:r>
        <w:t xml:space="preserve"> </w:t>
      </w:r>
      <w:r>
        <w:rPr>
          <w:i/>
          <w:iCs/>
        </w:rPr>
        <w:t xml:space="preserve">Rules on Occupational Safety and Health Standards</w:t>
      </w:r>
      <w:r>
        <w:t xml:space="preserve">: prohibition on installing block valves on safety-critical relief / flare paths). This is a directly relevant Korean-jurisdiction obligation for a flare knockout drum; ASME Section VIII Div.1 alone does not surface it.</w:t>
      </w:r>
    </w:p>
    <w:p>
      <w:pPr>
        <w:pStyle w:val="BodyText"/>
      </w:pPr>
      <w:r>
        <w:t xml:space="preserve">The full top-10 of each variant, with bm25 scores and snippets, is reproduced verbatim in</w:t>
      </w:r>
      <w:r>
        <w:t xml:space="preserve"> </w:t>
      </w:r>
      <w:r>
        <w:rPr>
          <w:rStyle w:val="VerbatimChar"/>
        </w:rPr>
        <w:t xml:space="preserve">outputs/real_case_ves001_rag.md</w:t>
      </w:r>
      <w:r>
        <w:t xml:space="preserve"> </w:t>
      </w:r>
      <w:r>
        <w:t xml:space="preserve">and</w:t>
      </w:r>
      <w:r>
        <w:t xml:space="preserve"> </w:t>
      </w:r>
      <w:r>
        <w:rPr>
          <w:rStyle w:val="VerbatimChar"/>
        </w:rPr>
        <w:t xml:space="preserve">outputs/real_case_ves001_rag.json</w:t>
      </w:r>
      <w:r>
        <w:t xml:space="preserve">.</w:t>
      </w:r>
    </w:p>
    <w:bookmarkEnd w:id="73"/>
    <w:bookmarkStart w:id="74" w:name="a.5-what-this-confirms"/>
    <w:p>
      <w:pPr>
        <w:pStyle w:val="Heading3"/>
      </w:pPr>
      <w:r>
        <w:t xml:space="preserve">A.5 What this confirms</w:t>
      </w:r>
    </w:p>
    <w:p>
      <w:pPr>
        <w:pStyle w:val="FirstParagraph"/>
      </w:pPr>
      <w: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w:t>
      </w:r>
      <w:r>
        <w:rPr>
          <w:rStyle w:val="VerbatimChar"/>
        </w:rPr>
        <w:t xml:space="preserve">M-111-2015</w:t>
      </w:r>
      <w:r>
        <w:t xml:space="preserve">), remaining-life assessment (</w:t>
      </w:r>
      <w:r>
        <w:rPr>
          <w:rStyle w:val="VerbatimChar"/>
        </w:rPr>
        <w:t xml:space="preserve">M-69-2012</w:t>
      </w:r>
      <w:r>
        <w:t xml:space="preserve">), pressure-vessel repair (</w:t>
      </w:r>
      <w:r>
        <w:rPr>
          <w:rStyle w:val="VerbatimChar"/>
        </w:rPr>
        <w:t xml:space="preserve">M-113-2012</w:t>
      </w:r>
      <w:r>
        <w:t xml:space="preserve">), post-weld heat treatment (</w:t>
      </w:r>
      <w:r>
        <w:rPr>
          <w:rStyle w:val="VerbatimChar"/>
        </w:rPr>
        <w:t xml:space="preserve">M-184-2015</w:t>
      </w:r>
      <w:r>
        <w:t xml:space="preserve">), and thickness-loss risk assessment (</w:t>
      </w:r>
      <w:r>
        <w:rPr>
          <w:rStyle w:val="VerbatimChar"/>
        </w:rPr>
        <w:t xml:space="preserve">M-109-2012</w:t>
      </w:r>
      <w:r>
        <w:t xml:space="preserve">); the narrow Korean-term probe additionally returns Article 266 of the</w:t>
      </w:r>
      <w:r>
        <w:t xml:space="preserve"> </w:t>
      </w:r>
      <w:r>
        <w:rPr>
          <w:i/>
          <w:iCs/>
        </w:rPr>
        <w:t xml:space="preserve">Rules on Occupational Safety and Health Standards</w:t>
      </w:r>
      <w:r>
        <w:t xml:space="preserve"> </w:t>
      </w:r>
      <w:r>
        <w:t xml:space="preserve">—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w:t>
      </w:r>
      <w:r>
        <w:t xml:space="preserve"> </w:t>
      </w:r>
      <w:r>
        <w:t xml:space="preserve">“right”</w:t>
      </w:r>
      <w:r>
        <w:t xml:space="preserve"> </w:t>
      </w:r>
      <w:r>
        <w:t xml:space="preserve">answer for this specific vessel — that is an audit judgement requiring the operating company’s PSM dossier — only that the same retrieval pipeline used in §6.5 surfaces the relevant Korean obligation and the relevant KOSHA technical guidance from a real plant data sheet.</w:t>
      </w:r>
    </w:p>
    <w:bookmarkEnd w:id="74"/>
    <w:bookmarkStart w:id="75" w:name="Xc47cf091bc440a5528282ad8b0bfc975696a623"/>
    <w:p>
      <w:pPr>
        <w:pStyle w:val="Heading3"/>
      </w:pPr>
      <w:r>
        <w:t xml:space="preserve">A.6 Synthetic-data framing considerations</w:t>
      </w:r>
    </w:p>
    <w:p>
      <w:pPr>
        <w:pStyle w:val="FirstParagraph"/>
      </w:pPr>
      <w:r>
        <w:t xml:space="preserve">This real-plant case responds directly to the concern that the §6 evaluation rests on synthetic data alone. What VES-REAL-001 demonstrates is that the pipeline</w:t>
      </w:r>
      <w:r>
        <w:t xml:space="preserve"> </w:t>
      </w:r>
      <w:r>
        <w:rPr>
          <w:b/>
          <w:bCs/>
        </w:rPr>
        <w:t xml:space="preserve">runs end-to-end on a real EPC vessel data sheet</w:t>
      </w:r>
      <w:r>
        <w:t xml:space="preserve">, that ASME UG-27 governs cleanly, that the engine correctly rejects out-of-scope inputs (the −190 °C cryogenic side returns</w:t>
      </w:r>
      <w:r>
        <w:t xml:space="preserve"> </w:t>
      </w:r>
      <w:r>
        <w:rPr>
          <w:rStyle w:val="VerbatimChar"/>
        </w:rPr>
        <w:t xml:space="preserve">STD.OUT_OF_SCOPE_APPLICATION</w:t>
      </w:r>
      <w:r>
        <w:t xml:space="preserve"> </w:t>
      </w:r>
      <w:r>
        <w:t xml:space="preserve">rather than a fabricated answer), and that KOSHA RAG retrieval surfaces jurisdiction-relevant guidance and at least one mandatory provision (Article 266 on flare-path block-valve prohibition) on a real-plant query.</w:t>
      </w:r>
      <w:r>
        <w:t xml:space="preserve"> </w:t>
      </w:r>
      <w:r>
        <w:rPr>
          <w:b/>
          <w:bCs/>
        </w:rPr>
        <w:t xml:space="preserve">What VES-REAL-001 does not demonstrate is external accuracy validation against an independently audited reference</w:t>
      </w:r>
      <w:r>
        <w:t xml:space="preserve">: the data sheet supplies design inputs but no independently measured outputs, so the case shows execution and retrieval behaviour, not predictive fidelity. Predictive validation against operating-record outcomes remains future work (§8 Limitation 1).</w:t>
      </w:r>
    </w:p>
    <w:p>
      <w:pPr>
        <w:pStyle w:val="BodyText"/>
      </w:pPr>
      <w:r>
        <w:rPr>
          <w:b/>
          <w:bCs/>
        </w:rPr>
        <w:t xml:space="preserve">Reproduction.</w:t>
      </w:r>
      <w:r>
        <w:t xml:space="preserve"> </w:t>
      </w:r>
      <w:r>
        <w:rPr>
          <w:rStyle w:val="VerbatimChar"/>
        </w:rPr>
        <w:t xml:space="preserve">python scripts/run_real_case_ves001_rag.py</w:t>
      </w:r>
      <w:r>
        <w:t xml:space="preserve"> </w:t>
      </w:r>
      <w:r>
        <w:t xml:space="preserve">regenerates</w:t>
      </w:r>
      <w:r>
        <w:t xml:space="preserve"> </w:t>
      </w:r>
      <w:r>
        <w:rPr>
          <w:rStyle w:val="VerbatimChar"/>
        </w:rPr>
        <w:t xml:space="preserve">outputs/real_case_ves001_rag.json</w:t>
      </w:r>
      <w:r>
        <w:t xml:space="preserve"> </w:t>
      </w:r>
      <w:r>
        <w:t xml:space="preserve">and</w:t>
      </w:r>
      <w:r>
        <w:t xml:space="preserve"> </w:t>
      </w:r>
      <w:r>
        <w:rPr>
          <w:rStyle w:val="VerbatimChar"/>
        </w:rPr>
        <w:t xml:space="preserve">outputs/real_case_ves001_rag.md</w:t>
      </w:r>
      <w:r>
        <w:t xml:space="preserve">. The KOSHA RAG index used is</w:t>
      </w:r>
      <w:r>
        <w:t xml:space="preserve"> </w:t>
      </w:r>
      <w:r>
        <w:rPr>
          <w:rStyle w:val="VerbatimChar"/>
        </w:rPr>
        <w:t xml:space="preserve">datasets/kosha_rag/kosha_local_rag.sqlite3</w:t>
      </w:r>
      <w:r>
        <w:t xml:space="preserve">. No randomness; outputs are deterministic.</w:t>
      </w:r>
    </w:p>
    <w:p>
      <w:r>
        <w:pict>
          <v:rect style="width:0;height:1.5pt" o:hralign="center" o:hrstd="t" o:hr="t"/>
        </w:pict>
      </w:r>
    </w:p>
    <w:bookmarkEnd w:id="75"/>
    <w:bookmarkEnd w:id="76"/>
    <w:bookmarkStart w:id="82" w:name="appendix-b-extended-validation-evidence"/>
    <w:p>
      <w:pPr>
        <w:pStyle w:val="Heading2"/>
      </w:pPr>
      <w:r>
        <w:t xml:space="preserve">Appendix B — Extended validation evidence</w:t>
      </w:r>
    </w:p>
    <w:p>
      <w:pPr>
        <w:pStyle w:val="FirstParagraph"/>
      </w:pPr>
      <w:r>
        <w:t xml:space="preserve">This appendix consolidates four supplementary measurements (per-discipline accuracy spread, recall saturation, pipeline latency, retrieval failure inventory) and a reproducibility statement. Every table is regenerated by</w:t>
      </w:r>
      <w:r>
        <w:t xml:space="preserve"> </w:t>
      </w:r>
      <w:r>
        <w:rPr>
          <w:rStyle w:val="VerbatimChar"/>
        </w:rPr>
        <w:t xml:space="preserve">scripts/reproduce_all.py</w:t>
      </w:r>
      <w:r>
        <w:t xml:space="preserve"> </w:t>
      </w:r>
      <w:r>
        <w:t xml:space="preserve">(13/13 scripts pass on a clean run).</w:t>
      </w:r>
    </w:p>
    <w:bookmarkStart w:id="77" w:name="b.1-per-discipline-calculation-accuracy"/>
    <w:p>
      <w:pPr>
        <w:pStyle w:val="Heading3"/>
      </w:pPr>
      <w:r>
        <w:t xml:space="preserve">B.1 Per-discipline calculation accuracy</w:t>
      </w:r>
    </w:p>
    <w:p>
      <w:pPr>
        <w:pStyle w:val="FirstParagraph"/>
      </w:pPr>
      <w:r>
        <w:t xml:space="preserve">A natural follow-up question is whether the system performs unevenly across disciplines. Per-discipline breakdown (</w:t>
      </w:r>
      <w:r>
        <w:rPr>
          <w:rStyle w:val="VerbatimChar"/>
        </w:rPr>
        <w:t xml:space="preserve">outputs/per_discipline_accuracy.md</w:t>
      </w:r>
      <w:r>
        <w:t xml:space="preserve">):</w:t>
      </w:r>
    </w:p>
    <w:p>
      <w:pPr>
        <w:pStyle w:val="Compact"/>
        <w:numPr>
          <w:ilvl w:val="0"/>
          <w:numId w:val="1006"/>
        </w:numPr>
      </w:pPr>
      <w:r>
        <w:t xml:space="preserve">Total cases: 220</w:t>
      </w:r>
    </w:p>
    <w:p>
      <w:pPr>
        <w:pStyle w:val="Compact"/>
        <w:numPr>
          <w:ilvl w:val="0"/>
          <w:numId w:val="1006"/>
        </w:numPr>
      </w:pPr>
      <w:r>
        <w:t xml:space="preserve">Passed cases: 220</w:t>
      </w:r>
    </w:p>
    <w:p>
      <w:pPr>
        <w:pStyle w:val="Compact"/>
        <w:numPr>
          <w:ilvl w:val="0"/>
          <w:numId w:val="1006"/>
        </w:numPr>
      </w:pPr>
      <w:r>
        <w:t xml:space="preserve">Overall accuracy: 1.0000</w:t>
      </w:r>
    </w:p>
    <w:p>
      <w:pPr>
        <w:pStyle w:val="Compact"/>
        <w:numPr>
          <w:ilvl w:val="0"/>
          <w:numId w:val="1006"/>
        </w:numPr>
      </w:pPr>
      <w:r>
        <w:t xml:space="preserve">Source dataset:</w:t>
      </w:r>
      <w:r>
        <w:t xml:space="preserve"> </w:t>
      </w:r>
      <w:r>
        <w:rPr>
          <w:rStyle w:val="VerbatimChar"/>
        </w:rPr>
        <w:t xml:space="preserve">datasets/golden_standards/*_golden_dataset_v1.json</w:t>
      </w:r>
    </w:p>
    <w:p>
      <w:pPr>
        <w:pStyle w:val="Compact"/>
        <w:numPr>
          <w:ilvl w:val="0"/>
          <w:numId w:val="1006"/>
        </w:numPr>
      </w:pPr>
      <w:r>
        <w:t xml:space="preserve">Code path:</w:t>
      </w:r>
      <w:r>
        <w:t xml:space="preserve"> </w:t>
      </w:r>
      <w:r>
        <w:rPr>
          <w:rStyle w:val="VerbatimChar"/>
        </w:rPr>
        <w:t xml:space="preserve">scripts/benchmark_all_runtime.py</w:t>
      </w:r>
      <w:r>
        <w:t xml:space="preserve"> </w:t>
      </w:r>
      <w:r>
        <w:t xml:space="preserve">(re-used).</w:t>
      </w:r>
    </w:p>
    <w:p>
      <w:pPr>
        <w:pStyle w:val="FirstParagraph"/>
      </w:pPr>
      <w:r>
        <w:rPr>
          <w:b/>
          <w:bCs/>
        </w:rPr>
        <w:t xml:space="preserve">Per-Discipline Table</w:t>
      </w:r>
    </w:p>
    <w:tbl>
      <w:tblPr>
        <w:tblStyle w:val="Table"/>
        <w:tblW w:type="pct" w:w="5000"/>
        <w:tblLayout w:type="fixed"/>
        <w:tblLook w:firstRow="1" w:lastRow="0" w:firstColumn="0" w:lastColumn="0" w:noHBand="0" w:noVBand="0" w:val="0020"/>
      </w:tblPr>
      <w:tblGrid>
        <w:gridCol w:w="625"/>
        <w:gridCol w:w="833"/>
        <w:gridCol w:w="833"/>
        <w:gridCol w:w="833"/>
        <w:gridCol w:w="833"/>
        <w:gridCol w:w="625"/>
        <w:gridCol w:w="833"/>
        <w:gridCol w:w="833"/>
        <w:gridCol w:w="833"/>
        <w:gridCol w:w="833"/>
      </w:tblGrid>
      <w:tr>
        <w:trPr>
          <w:tblHeader w:val="on"/>
        </w:trPr>
        <w:tc>
          <w:tcPr/>
          <w:p>
            <w:pPr>
              <w:pStyle w:val="Compact"/>
            </w:pPr>
            <w:r>
              <w:t xml:space="preserve">Discipline</w:t>
            </w:r>
          </w:p>
        </w:tc>
        <w:tc>
          <w:tcPr/>
          <w:p>
            <w:pPr>
              <w:pStyle w:val="Compact"/>
              <w:jc w:val="right"/>
            </w:pPr>
            <w:r>
              <w:t xml:space="preserve">Cases</w:t>
            </w:r>
          </w:p>
        </w:tc>
        <w:tc>
          <w:tcPr/>
          <w:p>
            <w:pPr>
              <w:pStyle w:val="Compact"/>
              <w:jc w:val="right"/>
            </w:pPr>
            <w:r>
              <w:t xml:space="preserve">Pass</w:t>
            </w:r>
          </w:p>
        </w:tc>
        <w:tc>
          <w:tcPr/>
          <w:p>
            <w:pPr>
              <w:pStyle w:val="Compact"/>
              <w:jc w:val="right"/>
            </w:pPr>
            <w:r>
              <w:t xml:space="preserve">Fail</w:t>
            </w:r>
          </w:p>
        </w:tc>
        <w:tc>
          <w:tcPr/>
          <w:p>
            <w:pPr>
              <w:pStyle w:val="Compact"/>
              <w:jc w:val="right"/>
            </w:pPr>
            <w:r>
              <w:t xml:space="preserve">Accuracy</w:t>
            </w:r>
          </w:p>
        </w:tc>
        <w:tc>
          <w:tcPr/>
          <w:p>
            <w:pPr>
              <w:pStyle w:val="Compact"/>
            </w:pPr>
            <w:r>
              <w:t xml:space="preserve">Primary metric</w:t>
            </w:r>
          </w:p>
        </w:tc>
        <w:tc>
          <w:tcPr/>
          <w:p>
            <w:pPr>
              <w:pStyle w:val="Compact"/>
              <w:jc w:val="right"/>
            </w:pPr>
            <w:r>
              <w:t xml:space="preserve">Mean rel. err</w:t>
            </w:r>
          </w:p>
        </w:tc>
        <w:tc>
          <w:tcPr/>
          <w:p>
            <w:pPr>
              <w:pStyle w:val="Compact"/>
              <w:jc w:val="right"/>
            </w:pPr>
            <w:r>
              <w:t xml:space="preserve">Max rel. err</w:t>
            </w:r>
          </w:p>
        </w:tc>
        <w:tc>
          <w:tcPr/>
          <w:p>
            <w:pPr>
              <w:pStyle w:val="Compact"/>
              <w:jc w:val="right"/>
            </w:pPr>
            <w:r>
              <w:t xml:space="preserve">RF precision</w:t>
            </w:r>
          </w:p>
        </w:tc>
        <w:tc>
          <w:tcPr/>
          <w:p>
            <w:pPr>
              <w:pStyle w:val="Compact"/>
              <w:jc w:val="right"/>
            </w:pPr>
            <w:r>
              <w:t xml:space="preserve">RF recall</w:t>
            </w:r>
          </w:p>
        </w:tc>
      </w:tr>
      <w:tr>
        <w:tc>
          <w:tcPr/>
          <w:p>
            <w:pPr>
              <w:pStyle w:val="Compact"/>
            </w:pPr>
            <w:r>
              <w:t xml:space="preserve">piping</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0</w:t>
            </w:r>
          </w:p>
        </w:tc>
        <w:tc>
          <w:tcPr/>
          <w:p>
            <w:pPr>
              <w:pStyle w:val="Compact"/>
              <w:jc w:val="right"/>
            </w:pPr>
            <w:r>
              <w:t xml:space="preserve">1.0000</w:t>
            </w:r>
          </w:p>
        </w:tc>
        <w:tc>
          <w:tcPr/>
          <w:p>
            <w:pPr>
              <w:pStyle w:val="Compact"/>
            </w:pPr>
            <w:r>
              <w:t xml:space="preserve">t_min_mm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vessel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t_required_shell_mm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rotating</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vibration_mm_per_s</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electrical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transformer_health_index</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instrumentation</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pfdavg</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steel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phi_pn_kn</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civil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phi_mn_knm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bl>
    <w:p>
      <w:pPr>
        <w:pStyle w:val="BodyText"/>
      </w:pPr>
      <w:r>
        <w:rPr>
          <w:b/>
          <w:bCs/>
        </w:rPr>
        <w:t xml:space="preserve">Red-flag Confusion (Per-Discipline).</w:t>
      </w:r>
      <w:r>
        <w:t xml:space="preserve"> </w:t>
      </w:r>
      <w:r>
        <w:t xml:space="preserve">Per-flag, per-case counts: TP = expected and predicted; FP = predicted but not expected; FN = expected but not predicted.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Discipline</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r>
      <w:tr>
        <w:tc>
          <w:tcPr/>
          <w:p>
            <w:pPr>
              <w:pStyle w:val="Compact"/>
            </w:pPr>
            <w:r>
              <w:t xml:space="preserve">piping</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r>
      <w:tr>
        <w:tc>
          <w:tcPr/>
          <w:p>
            <w:pPr>
              <w:pStyle w:val="Compact"/>
            </w:pPr>
            <w:r>
              <w:t xml:space="preserve">vessel</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rotating</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r>
      <w:tr>
        <w:tc>
          <w:tcPr/>
          <w:p>
            <w:pPr>
              <w:pStyle w:val="Compact"/>
            </w:pPr>
            <w:r>
              <w:t xml:space="preserve">electrical</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instrumentation</w:t>
            </w:r>
          </w:p>
        </w:tc>
        <w:tc>
          <w:tcPr/>
          <w:p>
            <w:pPr>
              <w:pStyle w:val="Compact"/>
              <w:jc w:val="right"/>
            </w:pPr>
            <w:r>
              <w:t xml:space="preserve">28</w:t>
            </w:r>
          </w:p>
        </w:tc>
        <w:tc>
          <w:tcPr/>
          <w:p>
            <w:pPr>
              <w:pStyle w:val="Compact"/>
              <w:jc w:val="right"/>
            </w:pPr>
            <w:r>
              <w:t xml:space="preserve">0</w:t>
            </w:r>
          </w:p>
        </w:tc>
        <w:tc>
          <w:tcPr/>
          <w:p>
            <w:pPr>
              <w:pStyle w:val="Compact"/>
              <w:jc w:val="right"/>
            </w:pPr>
            <w:r>
              <w:t xml:space="preserve">0</w:t>
            </w:r>
          </w:p>
        </w:tc>
      </w:tr>
      <w:tr>
        <w:tc>
          <w:tcPr/>
          <w:p>
            <w:pPr>
              <w:pStyle w:val="Compact"/>
            </w:pPr>
            <w:r>
              <w:t xml:space="preserve">steel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r>
        <w:tc>
          <w:tcPr/>
          <w:p>
            <w:pPr>
              <w:pStyle w:val="Compact"/>
            </w:pPr>
            <w:r>
              <w:t xml:space="preserve">civil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bl>
    <w:p>
      <w:pPr>
        <w:pStyle w:val="BodyText"/>
      </w:pPr>
      <w:r>
        <w:rPr>
          <w:b/>
          <w:bCs/>
        </w:rPr>
        <w:t xml:space="preserve">Caveat (self-consistency, not external ground-truth fidelity).</w:t>
      </w:r>
      <w:r>
        <w:t xml:space="preserve"> </w:t>
      </w:r>
      <w:r>
        <w:t xml:space="preserve">The expected outputs in</w:t>
      </w:r>
      <w:r>
        <w:t xml:space="preserve"> </w:t>
      </w:r>
      <w:r>
        <w:rPr>
          <w:rStyle w:val="VerbatimChar"/>
        </w:rPr>
        <w:t xml:space="preserve">datasets/golden_standards/*.json</w:t>
      </w:r>
      <w:r>
        <w:t xml:space="preserve"> </w:t>
      </w:r>
      <w:r>
        <w:t xml:space="preserve">were generated by the same calculation engine that the runtime now reproduces. The 1.0000 uniform accuracy therefore measures</w:t>
      </w:r>
      <w:r>
        <w:t xml:space="preserve"> </w:t>
      </w:r>
      <w:r>
        <w:rPr>
          <w:i/>
          <w:iCs/>
        </w:rPr>
        <w:t xml:space="preserve">implementation self-consistency</w:t>
      </w:r>
      <w:r>
        <w:t xml:space="preserve"> </w:t>
      </w:r>
      <w:r>
        <w:t xml:space="preserve">— the engine’s behaviour at runtime matches its behaviour at dataset-generation time — not external fidelity to a separately validated reference. This caveat is consistent with the</w:t>
      </w:r>
      <w:r>
        <w:t xml:space="preserve"> </w:t>
      </w:r>
      <w:r>
        <w:t xml:space="preserve">“implementation verification, not predictive validation”</w:t>
      </w:r>
      <w:r>
        <w:t xml:space="preserve"> </w:t>
      </w:r>
      <w:r>
        <w:t xml:space="preserve">framing of §6.1 and is restated as Limitation 8 in §8.</w:t>
      </w:r>
    </w:p>
    <w:bookmarkEnd w:id="77"/>
    <w:bookmarkStart w:id="78" w:name="b.2-recallk-extension-k-1..10"/>
    <w:p>
      <w:pPr>
        <w:pStyle w:val="Heading3"/>
      </w:pPr>
      <w:r>
        <w:t xml:space="preserve">B.2 Recall@K extension (K = 1..10)</w:t>
      </w:r>
    </w:p>
    <w:p>
      <w:pPr>
        <w:pStyle w:val="FirstParagraph"/>
      </w:pPr>
      <w:r>
        <w:t xml:space="preserve">Per-K table from</w:t>
      </w:r>
      <w:r>
        <w:t xml:space="preserve"> </w:t>
      </w:r>
      <w:r>
        <w:rPr>
          <w:rStyle w:val="VerbatimChar"/>
        </w:rPr>
        <w:t xml:space="preserve">outputs/rag_retrieval_extended.md</w:t>
      </w:r>
      <w:r>
        <w:t xml:space="preserve"> </w:t>
      </w:r>
      <w:r>
        <w:t xml:space="preserve">(Dataset:</w:t>
      </w:r>
      <w:r>
        <w:t xml:space="preserve"> </w:t>
      </w:r>
      <w:r>
        <w:rPr>
          <w:rStyle w:val="VerbatimChar"/>
        </w:rPr>
        <w:t xml:space="preserve">datasets/kosha_rag/rag_eval_queries.json</w:t>
      </w:r>
      <w:r>
        <w:t xml:space="preserve">; queries: 50; bootstrap draws: 1000, seed=20260508):</w:t>
      </w:r>
    </w:p>
    <w:p>
      <w:pPr>
        <w:pStyle w:val="BodyText"/>
      </w:pPr>
      <w:r>
        <w:rPr>
          <w:b/>
          <w:bCs/>
        </w:rPr>
        <w:t xml:space="preserve">Point Estimates per 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K</w:t>
            </w:r>
          </w:p>
        </w:tc>
        <w:tc>
          <w:tcPr/>
          <w:p>
            <w:pPr>
              <w:pStyle w:val="Compact"/>
              <w:jc w:val="right"/>
            </w:pPr>
            <w:r>
              <w:t xml:space="preserve">Plain</w:t>
            </w:r>
          </w:p>
        </w:tc>
        <w:tc>
          <w:tcPr/>
          <w:p>
            <w:pPr>
              <w:pStyle w:val="Compact"/>
              <w:jc w:val="right"/>
            </w:pPr>
            <w:r>
              <w:t xml:space="preserve">Enhanced</w:t>
            </w:r>
          </w:p>
        </w:tc>
        <w:tc>
          <w:tcPr/>
          <w:p>
            <w:pPr>
              <w:pStyle w:val="Compact"/>
              <w:jc w:val="right"/>
            </w:pPr>
            <w:r>
              <w:t xml:space="preserve">Delta (E - P)</w:t>
            </w:r>
          </w:p>
        </w:tc>
      </w:tr>
      <w:tr>
        <w:tc>
          <w:tcPr/>
          <w:p>
            <w:pPr>
              <w:pStyle w:val="Compact"/>
              <w:jc w:val="right"/>
            </w:pPr>
            <w:r>
              <w:t xml:space="preserve">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r>
      <w:tr>
        <w:tc>
          <w:tcPr/>
          <w:p>
            <w:pPr>
              <w:pStyle w:val="Compact"/>
              <w:jc w:val="right"/>
            </w:pPr>
            <w:r>
              <w:t xml:space="preserve">2</w:t>
            </w:r>
          </w:p>
        </w:tc>
        <w:tc>
          <w:tcPr/>
          <w:p>
            <w:pPr>
              <w:pStyle w:val="Compact"/>
              <w:jc w:val="right"/>
            </w:pPr>
            <w:r>
              <w:t xml:space="preserve">0.6000</w:t>
            </w:r>
          </w:p>
        </w:tc>
        <w:tc>
          <w:tcPr/>
          <w:p>
            <w:pPr>
              <w:pStyle w:val="Compact"/>
              <w:jc w:val="right"/>
            </w:pPr>
            <w:r>
              <w:t xml:space="preserve">0.8200</w:t>
            </w:r>
          </w:p>
        </w:tc>
        <w:tc>
          <w:tcPr/>
          <w:p>
            <w:pPr>
              <w:pStyle w:val="Compact"/>
              <w:jc w:val="right"/>
            </w:pPr>
            <w:r>
              <w:t xml:space="preserve">+0.2200</w:t>
            </w:r>
          </w:p>
        </w:tc>
      </w:tr>
      <w:tr>
        <w:tc>
          <w:tcPr/>
          <w:p>
            <w:pPr>
              <w:pStyle w:val="Compact"/>
              <w:jc w:val="right"/>
            </w:pPr>
            <w:r>
              <w:t xml:space="preserve">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4</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6</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7</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8</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9</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r>
        <w:tc>
          <w:tcPr/>
          <w:p>
            <w:pPr>
              <w:pStyle w:val="Compact"/>
              <w:jc w:val="right"/>
            </w:pPr>
            <w:r>
              <w:t xml:space="preserve">10</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bl>
    <w:p>
      <w:pPr>
        <w:pStyle w:val="BodyText"/>
      </w:pPr>
      <w:r>
        <w:rPr>
          <w:b/>
          <w:bCs/>
        </w:rPr>
        <w:t xml:space="preserve">Paired Difference (Enhanced − Plain) per 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K</w:t>
            </w:r>
          </w:p>
        </w:tc>
        <w:tc>
          <w:tcPr/>
          <w:p>
            <w:pPr>
              <w:pStyle w:val="Compact"/>
              <w:jc w:val="right"/>
            </w:pPr>
            <w:r>
              <w:t xml:space="preserve">Mean</w:t>
            </w:r>
          </w:p>
        </w:tc>
        <w:tc>
          <w:tcPr/>
          <w:p>
            <w:pPr>
              <w:pStyle w:val="Compact"/>
              <w:jc w:val="right"/>
            </w:pPr>
            <w:r>
              <w:t xml:space="preserve">2.5%</w:t>
            </w:r>
          </w:p>
        </w:tc>
        <w:tc>
          <w:tcPr/>
          <w:p>
            <w:pPr>
              <w:pStyle w:val="Compact"/>
              <w:jc w:val="right"/>
            </w:pPr>
            <w:r>
              <w:t xml:space="preserve">97.5%</w:t>
            </w:r>
          </w:p>
        </w:tc>
        <w:tc>
          <w:tcPr/>
          <w:p>
            <w:pPr>
              <w:pStyle w:val="Compact"/>
            </w:pPr>
            <w:r>
              <w:t xml:space="preserve">CI excludes 0?</w:t>
            </w:r>
          </w:p>
        </w:tc>
      </w:tr>
      <w:tr>
        <w:tc>
          <w:tcPr/>
          <w:p>
            <w:pPr>
              <w:pStyle w:val="Compact"/>
              <w:jc w:val="right"/>
            </w:pPr>
            <w:r>
              <w:t xml:space="preserve">1</w:t>
            </w:r>
          </w:p>
        </w:tc>
        <w:tc>
          <w:tcPr/>
          <w:p>
            <w:pPr>
              <w:pStyle w:val="Compact"/>
              <w:jc w:val="right"/>
            </w:pPr>
            <w:r>
              <w:t xml:space="preserve">+0.3031</w:t>
            </w:r>
          </w:p>
        </w:tc>
        <w:tc>
          <w:tcPr/>
          <w:p>
            <w:pPr>
              <w:pStyle w:val="Compact"/>
              <w:jc w:val="right"/>
            </w:pPr>
            <w:r>
              <w:t xml:space="preserve">+0.1400</w:t>
            </w:r>
          </w:p>
        </w:tc>
        <w:tc>
          <w:tcPr/>
          <w:p>
            <w:pPr>
              <w:pStyle w:val="Compact"/>
              <w:jc w:val="right"/>
            </w:pPr>
            <w:r>
              <w:t xml:space="preserve">+0.4800</w:t>
            </w:r>
          </w:p>
        </w:tc>
        <w:tc>
          <w:tcPr/>
          <w:p>
            <w:pPr>
              <w:pStyle w:val="Compact"/>
            </w:pPr>
            <w:r>
              <w:t xml:space="preserve">yes</w:t>
            </w:r>
          </w:p>
        </w:tc>
      </w:tr>
      <w:tr>
        <w:tc>
          <w:tcPr/>
          <w:p>
            <w:pPr>
              <w:pStyle w:val="Compact"/>
              <w:jc w:val="right"/>
            </w:pPr>
            <w:r>
              <w:t xml:space="preserve">2</w:t>
            </w:r>
          </w:p>
        </w:tc>
        <w:tc>
          <w:tcPr/>
          <w:p>
            <w:pPr>
              <w:pStyle w:val="Compact"/>
              <w:jc w:val="right"/>
            </w:pPr>
            <w:r>
              <w:t xml:space="preserve">+0.2236</w:t>
            </w:r>
          </w:p>
        </w:tc>
        <w:tc>
          <w:tcPr/>
          <w:p>
            <w:pPr>
              <w:pStyle w:val="Compact"/>
              <w:jc w:val="right"/>
            </w:pPr>
            <w:r>
              <w:t xml:space="preserve">+0.0600</w:t>
            </w:r>
          </w:p>
        </w:tc>
        <w:tc>
          <w:tcPr/>
          <w:p>
            <w:pPr>
              <w:pStyle w:val="Compact"/>
              <w:jc w:val="right"/>
            </w:pPr>
            <w:r>
              <w:t xml:space="preserve">+0.3800</w:t>
            </w:r>
          </w:p>
        </w:tc>
        <w:tc>
          <w:tcPr/>
          <w:p>
            <w:pPr>
              <w:pStyle w:val="Compact"/>
            </w:pPr>
            <w:r>
              <w:t xml:space="preserve">yes</w:t>
            </w:r>
          </w:p>
        </w:tc>
      </w:tr>
      <w:tr>
        <w:tc>
          <w:tcPr/>
          <w:p>
            <w:pPr>
              <w:pStyle w:val="Compact"/>
              <w:jc w:val="right"/>
            </w:pPr>
            <w:r>
              <w:t xml:space="preserve">3</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4</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5</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6</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7</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8</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9</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r>
        <w:tc>
          <w:tcPr/>
          <w:p>
            <w:pPr>
              <w:pStyle w:val="Compact"/>
              <w:jc w:val="right"/>
            </w:pPr>
            <w:r>
              <w:t xml:space="preserve">10</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bl>
    <w:p>
      <w:pPr>
        <w:pStyle w:val="BodyText"/>
      </w:pPr>
      <w:r>
        <w:t xml:space="preserve">The Enhanced curve saturates at 0.8621 from K = 3; the Plain curve continues to rise. Paired-bootstrap 95% CI on the Enhanced − Plain delta excludes zero only at K∈{1, 2}. The headline retrieval claim of the paper is therefore narrowed to Recall@1 and MRR@10 (§6.5).</w:t>
      </w:r>
    </w:p>
    <w:bookmarkEnd w:id="78"/>
    <w:bookmarkStart w:id="79" w:name="b.3-pipeline-end-to-end-latency"/>
    <w:p>
      <w:pPr>
        <w:pStyle w:val="Heading3"/>
      </w:pPr>
      <w:r>
        <w:t xml:space="preserve">B.3 Pipeline end-to-end latency</w:t>
      </w:r>
    </w:p>
    <w:p>
      <w:pPr>
        <w:pStyle w:val="FirstParagraph"/>
      </w:pPr>
      <w:r>
        <w:t xml:space="preserve">Median latency per stage on a commodity AMD x86-64 CPU under Python 3.13 (</w:t>
      </w:r>
      <w:r>
        <w:rPr>
          <w:rStyle w:val="VerbatimChar"/>
        </w:rPr>
        <w:t xml:space="preserve">outputs/pipeline_latency.md</w:t>
      </w:r>
      <w:r>
        <w:t xml:space="preserve">; Platform: Windows 10 (AMD64); CPU: AMD64 Family 25 Model 33 Stepping 2; repetitions per stage: 5):</w:t>
      </w:r>
    </w:p>
    <w:p>
      <w:pPr>
        <w:pStyle w:val="BodyText"/>
      </w:pPr>
      <w:r>
        <w:rPr>
          <w:b/>
          <w:bCs/>
        </w:rPr>
        <w:t xml:space="preserve">Per-Discipline Layered Stack (Layers 1–4 Combined, service.evaluate)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Discipline</w:t>
            </w:r>
          </w:p>
        </w:tc>
        <w:tc>
          <w:tcPr/>
          <w:p>
            <w:pPr>
              <w:pStyle w:val="Compact"/>
            </w:pPr>
            <w:r>
              <w:t xml:space="preserve">Case ID</w:t>
            </w:r>
          </w:p>
        </w:tc>
        <w:tc>
          <w:tcPr/>
          <w:p>
            <w:pPr>
              <w:pStyle w:val="Compact"/>
            </w:pPr>
            <w:r>
              <w:t xml:space="preserve">Criticality</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piping</w:t>
            </w:r>
          </w:p>
        </w:tc>
        <w:tc>
          <w:tcPr/>
          <w:p>
            <w:pPr>
              <w:pStyle w:val="Compact"/>
            </w:pPr>
            <w:r>
              <w:t xml:space="preserve">PIP-GOLD-001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0.19</w:t>
            </w:r>
          </w:p>
        </w:tc>
        <w:tc>
          <w:tcPr/>
          <w:p>
            <w:pPr>
              <w:pStyle w:val="Compact"/>
              <w:jc w:val="right"/>
            </w:pPr>
            <w:r>
              <w:t xml:space="preserve">0.05</w:t>
            </w:r>
          </w:p>
        </w:tc>
        <w:tc>
          <w:tcPr/>
          <w:p>
            <w:pPr>
              <w:pStyle w:val="Compact"/>
              <w:jc w:val="right"/>
            </w:pPr>
            <w:r>
              <w:t xml:space="preserve">0.19</w:t>
            </w:r>
          </w:p>
        </w:tc>
      </w:tr>
      <w:tr>
        <w:tc>
          <w:tcPr/>
          <w:p>
            <w:pPr>
              <w:pStyle w:val="Compact"/>
            </w:pPr>
            <w:r>
              <w:t xml:space="preserve">vessel</w:t>
            </w:r>
          </w:p>
        </w:tc>
        <w:tc>
          <w:tcPr/>
          <w:p>
            <w:pPr>
              <w:pStyle w:val="Compact"/>
            </w:pPr>
            <w:r>
              <w:t xml:space="preserve">VES-GOLD-001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0.13</w:t>
            </w:r>
          </w:p>
        </w:tc>
        <w:tc>
          <w:tcPr/>
          <w:p>
            <w:pPr>
              <w:pStyle w:val="Compact"/>
              <w:jc w:val="right"/>
            </w:pPr>
            <w:r>
              <w:t xml:space="preserve">0.05</w:t>
            </w:r>
          </w:p>
        </w:tc>
        <w:tc>
          <w:tcPr/>
          <w:p>
            <w:pPr>
              <w:pStyle w:val="Compact"/>
              <w:jc w:val="right"/>
            </w:pPr>
            <w:r>
              <w:t xml:space="preserve">0.13</w:t>
            </w:r>
          </w:p>
        </w:tc>
      </w:tr>
      <w:tr>
        <w:tc>
          <w:tcPr/>
          <w:p>
            <w:pPr>
              <w:pStyle w:val="Compact"/>
            </w:pPr>
            <w:r>
              <w:t xml:space="preserve">rotating</w:t>
            </w:r>
          </w:p>
        </w:tc>
        <w:tc>
          <w:tcPr/>
          <w:p>
            <w:pPr>
              <w:pStyle w:val="Compact"/>
            </w:pPr>
            <w:r>
              <w:t xml:space="preserve">ROT-GOLD-001</w:t>
            </w:r>
          </w:p>
        </w:tc>
        <w:tc>
          <w:tcPr/>
          <w:p>
            <w:pPr>
              <w:pStyle w:val="Compact"/>
            </w:pPr>
            <w:r>
              <w:t xml:space="preserve">normal</w:t>
            </w:r>
          </w:p>
        </w:tc>
        <w:tc>
          <w:tcPr/>
          <w:p>
            <w:pPr>
              <w:pStyle w:val="Compact"/>
              <w:jc w:val="right"/>
            </w:pPr>
            <w:r>
              <w:t xml:space="preserve">0.04</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0.10</w:t>
            </w:r>
          </w:p>
        </w:tc>
      </w:tr>
      <w:tr>
        <w:tc>
          <w:tcPr/>
          <w:p>
            <w:pPr>
              <w:pStyle w:val="Compact"/>
            </w:pPr>
            <w:r>
              <w:t xml:space="preserve">electrical</w:t>
            </w:r>
          </w:p>
        </w:tc>
        <w:tc>
          <w:tcPr/>
          <w:p>
            <w:pPr>
              <w:pStyle w:val="Compact"/>
            </w:pPr>
            <w:r>
              <w:t xml:space="preserve">ELE-GOLD-001</w:t>
            </w:r>
          </w:p>
        </w:tc>
        <w:tc>
          <w:tcPr/>
          <w:p>
            <w:pPr>
              <w:pStyle w:val="Compact"/>
            </w:pPr>
            <w:r>
              <w:t xml:space="preserve">normal</w:t>
            </w:r>
          </w:p>
        </w:tc>
        <w:tc>
          <w:tcPr/>
          <w:p>
            <w:pPr>
              <w:pStyle w:val="Compact"/>
              <w:jc w:val="right"/>
            </w:pPr>
            <w:r>
              <w:t xml:space="preserve">0.04</w:t>
            </w:r>
          </w:p>
        </w:tc>
        <w:tc>
          <w:tcPr/>
          <w:p>
            <w:pPr>
              <w:pStyle w:val="Compact"/>
              <w:jc w:val="right"/>
            </w:pPr>
            <w:r>
              <w:t xml:space="preserve">0.09</w:t>
            </w:r>
          </w:p>
        </w:tc>
        <w:tc>
          <w:tcPr/>
          <w:p>
            <w:pPr>
              <w:pStyle w:val="Compact"/>
              <w:jc w:val="right"/>
            </w:pPr>
            <w:r>
              <w:t xml:space="preserve">0.03</w:t>
            </w:r>
          </w:p>
        </w:tc>
        <w:tc>
          <w:tcPr/>
          <w:p>
            <w:pPr>
              <w:pStyle w:val="Compact"/>
              <w:jc w:val="right"/>
            </w:pPr>
            <w:r>
              <w:t xml:space="preserve">0.09</w:t>
            </w:r>
          </w:p>
        </w:tc>
      </w:tr>
      <w:tr>
        <w:tc>
          <w:tcPr/>
          <w:p>
            <w:pPr>
              <w:pStyle w:val="Compact"/>
            </w:pPr>
            <w:r>
              <w:t xml:space="preserve">instrumentation</w:t>
            </w:r>
          </w:p>
        </w:tc>
        <w:tc>
          <w:tcPr/>
          <w:p>
            <w:pPr>
              <w:pStyle w:val="Compact"/>
            </w:pPr>
            <w:r>
              <w:t xml:space="preserve">INS-GOLD-001</w:t>
            </w:r>
          </w:p>
        </w:tc>
        <w:tc>
          <w:tcPr/>
          <w:p>
            <w:pPr>
              <w:pStyle w:val="Compact"/>
            </w:pPr>
            <w:r>
              <w:t xml:space="preserve">normal</w:t>
            </w:r>
          </w:p>
        </w:tc>
        <w:tc>
          <w:tcPr/>
          <w:p>
            <w:pPr>
              <w:pStyle w:val="Compact"/>
              <w:jc w:val="right"/>
            </w:pPr>
            <w:r>
              <w:t xml:space="preserve">0.08</w:t>
            </w:r>
          </w:p>
        </w:tc>
        <w:tc>
          <w:tcPr/>
          <w:p>
            <w:pPr>
              <w:pStyle w:val="Compact"/>
              <w:jc w:val="right"/>
            </w:pPr>
            <w:r>
              <w:t xml:space="preserve">0.15</w:t>
            </w:r>
          </w:p>
        </w:tc>
        <w:tc>
          <w:tcPr/>
          <w:p>
            <w:pPr>
              <w:pStyle w:val="Compact"/>
              <w:jc w:val="right"/>
            </w:pPr>
            <w:r>
              <w:t xml:space="preserve">0.06</w:t>
            </w:r>
          </w:p>
        </w:tc>
        <w:tc>
          <w:tcPr/>
          <w:p>
            <w:pPr>
              <w:pStyle w:val="Compact"/>
              <w:jc w:val="right"/>
            </w:pPr>
            <w:r>
              <w:t xml:space="preserve">0.15</w:t>
            </w:r>
          </w:p>
        </w:tc>
      </w:tr>
      <w:tr>
        <w:tc>
          <w:tcPr/>
          <w:p>
            <w:pPr>
              <w:pStyle w:val="Compact"/>
            </w:pPr>
            <w:r>
              <w:t xml:space="preserve">steel</w:t>
            </w:r>
          </w:p>
        </w:tc>
        <w:tc>
          <w:tcPr/>
          <w:p>
            <w:pPr>
              <w:pStyle w:val="Compact"/>
            </w:pPr>
            <w:r>
              <w:t xml:space="preserve">STL-GOLD-001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0.07</w:t>
            </w:r>
          </w:p>
        </w:tc>
        <w:tc>
          <w:tcPr/>
          <w:p>
            <w:pPr>
              <w:pStyle w:val="Compact"/>
              <w:jc w:val="right"/>
            </w:pPr>
            <w:r>
              <w:t xml:space="preserve">0.03</w:t>
            </w:r>
          </w:p>
        </w:tc>
        <w:tc>
          <w:tcPr/>
          <w:p>
            <w:pPr>
              <w:pStyle w:val="Compact"/>
              <w:jc w:val="right"/>
            </w:pPr>
            <w:r>
              <w:t xml:space="preserve">0.07</w:t>
            </w:r>
          </w:p>
        </w:tc>
      </w:tr>
      <w:tr>
        <w:tc>
          <w:tcPr/>
          <w:p>
            <w:pPr>
              <w:pStyle w:val="Compact"/>
            </w:pPr>
            <w:r>
              <w:t xml:space="preserve">civil</w:t>
            </w:r>
          </w:p>
        </w:tc>
        <w:tc>
          <w:tcPr/>
          <w:p>
            <w:pPr>
              <w:pStyle w:val="Compact"/>
            </w:pPr>
            <w:r>
              <w:t xml:space="preserve">CIV-GOLD-001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0.03</w:t>
            </w:r>
          </w:p>
        </w:tc>
        <w:tc>
          <w:tcPr/>
          <w:p>
            <w:pPr>
              <w:pStyle w:val="Compact"/>
              <w:jc w:val="right"/>
            </w:pPr>
            <w:r>
              <w:t xml:space="preserve">0.08</w:t>
            </w:r>
          </w:p>
        </w:tc>
      </w:tr>
    </w:tbl>
    <w:p>
      <w:pPr>
        <w:pStyle w:val="BodyText"/>
      </w:pPr>
      <w:r>
        <w:rPr>
          <w:b/>
          <w:bCs/>
        </w:rPr>
        <w:t xml:space="preserve">Piping Per-Layer Breakdown</w:t>
      </w:r>
      <w:r>
        <w:t xml:space="preserve"> </w:t>
      </w:r>
      <w:r>
        <w:t xml:space="preserve">(case PIP-GOLD-001):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Layer</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layer1_input_validation</w:t>
            </w:r>
          </w:p>
        </w:tc>
        <w:tc>
          <w:tcPr/>
          <w:p>
            <w:pPr>
              <w:pStyle w:val="Compact"/>
              <w:jc w:val="right"/>
            </w:pPr>
            <w:r>
              <w:t xml:space="preserve">0.002</w:t>
            </w:r>
          </w:p>
        </w:tc>
        <w:tc>
          <w:tcPr/>
          <w:p>
            <w:pPr>
              <w:pStyle w:val="Compact"/>
              <w:jc w:val="right"/>
            </w:pPr>
            <w:r>
              <w:t xml:space="preserve">0.004</w:t>
            </w:r>
          </w:p>
        </w:tc>
        <w:tc>
          <w:tcPr/>
          <w:p>
            <w:pPr>
              <w:pStyle w:val="Compact"/>
              <w:jc w:val="right"/>
            </w:pPr>
            <w:r>
              <w:t xml:space="preserve">0.001</w:t>
            </w:r>
          </w:p>
        </w:tc>
        <w:tc>
          <w:tcPr/>
          <w:p>
            <w:pPr>
              <w:pStyle w:val="Compact"/>
              <w:jc w:val="right"/>
            </w:pPr>
            <w:r>
              <w:t xml:space="preserve">0.004</w:t>
            </w:r>
          </w:p>
        </w:tc>
      </w:tr>
      <w:tr>
        <w:tc>
          <w:tcPr/>
          <w:p>
            <w:pPr>
              <w:pStyle w:val="Compact"/>
            </w:pPr>
            <w:r>
              <w:t xml:space="preserve">layer2_k_voting_3candidates_plus_consensus</w:t>
            </w:r>
          </w:p>
        </w:tc>
        <w:tc>
          <w:tcPr/>
          <w:p>
            <w:pPr>
              <w:pStyle w:val="Compact"/>
              <w:jc w:val="right"/>
            </w:pPr>
            <w:r>
              <w:t xml:space="preserve">0.017</w:t>
            </w:r>
          </w:p>
        </w:tc>
        <w:tc>
          <w:tcPr/>
          <w:p>
            <w:pPr>
              <w:pStyle w:val="Compact"/>
              <w:jc w:val="right"/>
            </w:pPr>
            <w:r>
              <w:t xml:space="preserve">0.020</w:t>
            </w:r>
          </w:p>
        </w:tc>
        <w:tc>
          <w:tcPr/>
          <w:p>
            <w:pPr>
              <w:pStyle w:val="Compact"/>
              <w:jc w:val="right"/>
            </w:pPr>
            <w:r>
              <w:t xml:space="preserve">0.015</w:t>
            </w:r>
          </w:p>
        </w:tc>
        <w:tc>
          <w:tcPr/>
          <w:p>
            <w:pPr>
              <w:pStyle w:val="Compact"/>
              <w:jc w:val="right"/>
            </w:pPr>
            <w:r>
              <w:t xml:space="preserve">0.020</w:t>
            </w:r>
          </w:p>
        </w:tc>
      </w:tr>
      <w:tr>
        <w:tc>
          <w:tcPr/>
          <w:p>
            <w:pPr>
              <w:pStyle w:val="Compact"/>
            </w:pPr>
            <w:r>
              <w:t xml:space="preserve">layer3_physics_and_standards</w:t>
            </w:r>
          </w:p>
        </w:tc>
        <w:tc>
          <w:tcPr/>
          <w:p>
            <w:pPr>
              <w:pStyle w:val="Compact"/>
              <w:jc w:val="right"/>
            </w:pPr>
            <w:r>
              <w:t xml:space="preserve">0.002</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r>
        <w:tc>
          <w:tcPr/>
          <w:p>
            <w:pPr>
              <w:pStyle w:val="Compact"/>
            </w:pPr>
            <w:r>
              <w:t xml:space="preserve">layer4_reverse_checks</w:t>
            </w:r>
          </w:p>
        </w:tc>
        <w:tc>
          <w:tcPr/>
          <w:p>
            <w:pPr>
              <w:pStyle w:val="Compact"/>
              <w:jc w:val="right"/>
            </w:pPr>
            <w:r>
              <w:t xml:space="preserve">0.003</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bl>
    <w:p>
      <w:pPr>
        <w:pStyle w:val="BodyText"/>
      </w:pPr>
      <w:r>
        <w:rPr>
          <w:b/>
          <w:bCs/>
        </w:rPr>
        <w:t xml:space="preserve">Cross-Discipline Validator (one paired call across 7 disciplines):</w:t>
      </w:r>
      <w:r>
        <w:t xml:space="preserve"> </w:t>
      </w:r>
      <w:r>
        <w:t xml:space="preserve">median 0.028 ms, p95 0.045 ms, min/max 0.021 / 0.045 ms.</w:t>
      </w:r>
    </w:p>
    <w:p>
      <w:pPr>
        <w:pStyle w:val="BodyText"/>
      </w:pPr>
      <w:r>
        <w:rPr>
          <w:b/>
          <w:bCs/>
        </w:rPr>
        <w:t xml:space="preserve">KOSHA RAG Retrieval (top-10):</w:t>
      </w:r>
      <w:r>
        <w:t xml:space="preserve"> </w:t>
      </w:r>
      <w:r>
        <w:t xml:space="preserve">query</w:t>
      </w:r>
      <w:r>
        <w:t xml:space="preserve"> </w:t>
      </w:r>
      <w:r>
        <w:rPr>
          <w:rStyle w:val="VerbatimChar"/>
        </w:rPr>
        <w:t xml:space="preserve">pressure vessel remaining life assessment</w:t>
      </w:r>
      <w:r>
        <w:t xml:space="preserve">, hit count 4, median 1.151 ms, p95 3.351 ms, min/max 1.018 / 3.351 ms.</w:t>
      </w:r>
    </w:p>
    <w:p>
      <w:pPr>
        <w:pStyle w:val="BodyText"/>
      </w:pPr>
      <w:r>
        <w:rPr>
          <w:b/>
          <w:bCs/>
        </w:rPr>
        <w:t xml:space="preserve">KOSHA RAG Generation (Qwen via Ollama):</w:t>
      </w:r>
      <w:r>
        <w:t xml:space="preserve"> </w:t>
      </w:r>
      <w:r>
        <w:t xml:space="preserve">model</w:t>
      </w:r>
      <w:r>
        <w:t xml:space="preserve"> </w:t>
      </w:r>
      <w:r>
        <w:rPr>
          <w:rStyle w:val="VerbatimChar"/>
        </w:rPr>
        <w:t xml:space="preserve">qwen3:4b</w:t>
      </w:r>
      <w:r>
        <w:t xml:space="preserve">, prompt 2,054 chars, median 41,725.0 ms, p95 62,277.2 ms, min/max 31,919.7 / 62,277.2 ms.</w:t>
      </w:r>
    </w:p>
    <w:p>
      <w:pPr>
        <w:pStyle w:val="BodyText"/>
      </w:pPr>
      <w:r>
        <w:rPr>
          <w:b/>
          <w:bCs/>
        </w:rPr>
        <w:t xml:space="preserve">End-to-End Median.</w:t>
      </w:r>
      <w:r>
        <w:t xml:space="preserve"> </w:t>
      </w:r>
      <w:r>
        <w:t xml:space="preserve">Composition: piping</w:t>
      </w:r>
      <w:r>
        <w:t xml:space="preserve"> </w:t>
      </w:r>
      <w:r>
        <w:rPr>
          <w:rStyle w:val="VerbatimChar"/>
        </w:rPr>
        <w:t xml:space="preserve">service.evaluate</w:t>
      </w:r>
      <w:r>
        <w:t xml:space="preserve"> </w:t>
      </w:r>
      <w:r>
        <w:t xml:space="preserve">median + cross-discipline validator median + RAG retrieval median (+ RAG generation median). End-to-end median:</w:t>
      </w:r>
      <w:r>
        <w:t xml:space="preserve"> </w:t>
      </w:r>
      <w:r>
        <w:rPr>
          <w:b/>
          <w:bCs/>
        </w:rPr>
        <w:t xml:space="preserve">41,726.22 ms</w:t>
      </w:r>
      <w:r>
        <w:t xml:space="preserve">.</w:t>
      </w:r>
    </w:p>
    <w:p>
      <w:pPr>
        <w:pStyle w:val="BodyText"/>
      </w:pPr>
      <w: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p>
    <w:bookmarkEnd w:id="79"/>
    <w:bookmarkStart w:id="80" w:name="b.4-retrieval-failure-inventory"/>
    <w:p>
      <w:pPr>
        <w:pStyle w:val="Heading3"/>
      </w:pPr>
      <w:r>
        <w:t xml:space="preserve">B.4 Retrieval failure inventory</w:t>
      </w:r>
    </w:p>
    <w:p>
      <w:pPr>
        <w:pStyle w:val="FirstParagraph"/>
      </w:pPr>
      <w:r>
        <w:t xml:space="preserve">Honest disclosure of where retrieval still misses on the 50-query curated benchmark (</w:t>
      </w:r>
      <w:r>
        <w:rPr>
          <w:rStyle w:val="VerbatimChar"/>
        </w:rPr>
        <w:t xml:space="preserve">outputs/retrieval_failure_inventory.md</w:t>
      </w:r>
      <w:r>
        <w:t xml:space="preserve">; Enhanced FTS, K=5 threshold; failure rule:</w:t>
      </w:r>
      <w:r>
        <w:t xml:space="preserve"> </w:t>
      </w:r>
      <w:r>
        <w:rPr>
          <w:rStyle w:val="VerbatimChar"/>
        </w:rPr>
        <w:t xml:space="preserve">failure := first_relevant_rank &gt; 5 OR no relevant hit in top-10</w:t>
      </w:r>
      <w:r>
        <w:t xml:space="preserve">; failure count 7/50 = 0.1400):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Diagnosis</w:t>
            </w:r>
          </w:p>
        </w:tc>
        <w:tc>
          <w:tcPr/>
          <w:p>
            <w:pPr>
              <w:pStyle w:val="Compact"/>
              <w:jc w:val="right"/>
            </w:pPr>
            <w:r>
              <w:t xml:space="preserve">Count</w:t>
            </w:r>
          </w:p>
        </w:tc>
      </w:tr>
      <w:tr>
        <w:tc>
          <w:tcPr/>
          <w:p>
            <w:pPr>
              <w:pStyle w:val="Compact"/>
            </w:pPr>
            <w:r>
              <w:t xml:space="preserve">paraphrase_too_loose</w:t>
            </w:r>
          </w:p>
        </w:tc>
        <w:tc>
          <w:tcPr/>
          <w:p>
            <w:pPr>
              <w:pStyle w:val="Compact"/>
              <w:jc w:val="right"/>
            </w:pPr>
            <w:r>
              <w:t xml:space="preserve">6</w:t>
            </w:r>
          </w:p>
        </w:tc>
      </w:tr>
      <w:tr>
        <w:tc>
          <w:tcPr/>
          <w:p>
            <w:pPr>
              <w:pStyle w:val="Compact"/>
            </w:pPr>
            <w:r>
              <w:t xml:space="preserve">regulatory_class_mismatch</w:t>
            </w:r>
          </w:p>
        </w:tc>
        <w:tc>
          <w:tcPr/>
          <w:p>
            <w:pPr>
              <w:pStyle w:val="Compact"/>
              <w:jc w:val="right"/>
            </w:pPr>
            <w:r>
              <w:t xml:space="preserve">1</w:t>
            </w:r>
          </w:p>
        </w:tc>
      </w:tr>
    </w:tbl>
    <w:p>
      <w:pPr>
        <w:pStyle w:val="BodyText"/>
      </w:pPr>
      <w:r>
        <w:t xml:space="preserve">Diagnosis category definitions:</w:t>
      </w:r>
      <w:r>
        <w:t xml:space="preserve"> </w:t>
      </w:r>
      <w:r>
        <w:rPr>
          <w:rStyle w:val="VerbatimChar"/>
        </w:rPr>
        <w:t xml:space="preserve">paraphrase_too_loose</w:t>
      </w:r>
      <w:r>
        <w:t xml:space="preserve"> </w:t>
      </w:r>
      <w:r>
        <w:t xml:space="preserve">— the query phrasing diverges from the indexed chunk’s vocabulary beyond what the synonym expansion bridges;</w:t>
      </w:r>
      <w:r>
        <w:t xml:space="preserve"> </w:t>
      </w:r>
      <w:r>
        <w:rPr>
          <w:rStyle w:val="VerbatimChar"/>
        </w:rPr>
        <w:t xml:space="preserve">regulatory_class_mismatch</w:t>
      </w:r>
      <w:r>
        <w:t xml:space="preserve"> </w:t>
      </w:r>
      <w:r>
        <w:t xml:space="preserve">— the retrieval favours a guidance-class hit when the target is a mandatory provision (or vice versa). Six of seven failures fall in</w:t>
      </w:r>
      <w:r>
        <w:t xml:space="preserve"> </w:t>
      </w:r>
      <w:r>
        <w:rPr>
          <w:rStyle w:val="VerbatimChar"/>
        </w:rPr>
        <w:t xml:space="preserve">paraphrase_too_loose</w:t>
      </w:r>
      <w:r>
        <w:t xml:space="preserve">, concentrated in the C-C-23 RBI, B-M-18 piping life, C-C-75 corrosion risk, and Article 256 corrosion-prevention groups. This single dominant failure mode is an honest input for future work on a hybrid lexical + semantic retriever (§8 future research direction (3)).</w:t>
      </w:r>
    </w:p>
    <w:bookmarkEnd w:id="80"/>
    <w:bookmarkStart w:id="81" w:name="b.5-reproducibility"/>
    <w:p>
      <w:pPr>
        <w:pStyle w:val="Heading3"/>
      </w:pPr>
      <w:r>
        <w:t xml:space="preserve">B.5 Reproducibility</w:t>
      </w:r>
    </w:p>
    <w:p>
      <w:pPr>
        <w:pStyle w:val="FirstParagraph"/>
      </w:pPr>
      <w:r>
        <w:rPr>
          <w:rStyle w:val="VerbatimChar"/>
        </w:rPr>
        <w:t xml:space="preserve">scripts/reproduce_all.py</w:t>
      </w:r>
      <w:r>
        <w:t xml:space="preserve"> </w:t>
      </w:r>
      <w:r>
        <w:t xml:space="preserve">regenerates every figure, table, and</w:t>
      </w:r>
      <w:r>
        <w:t xml:space="preserve"> </w:t>
      </w:r>
      <w:r>
        <w:rPr>
          <w:rStyle w:val="VerbatimChar"/>
        </w:rPr>
        <w:t xml:space="preserve">outputs/*.md</w:t>
      </w:r>
      <w:r>
        <w:t xml:space="preserve"> </w:t>
      </w:r>
      <w:r>
        <w:t xml:space="preserve">cited in this manuscript with a single command from a clean repository state. End-to-end run on a clean checkout: 13/13 scripts complete successfully (</w:t>
      </w:r>
      <w:r>
        <w:rPr>
          <w:rStyle w:val="VerbatimChar"/>
        </w:rPr>
        <w:t xml:space="preserve">python scripts/reproduce_all.py</w:t>
      </w:r>
      <w:r>
        <w:t xml:space="preserve">). The KOSHA-corpus rebuild (network + 200 MB SQLite) is intentionally excluded from the runner and documented separately under</w:t>
      </w:r>
      <w:r>
        <w:t xml:space="preserve"> </w:t>
      </w:r>
      <w:r>
        <w:rPr>
          <w:rStyle w:val="VerbatimChar"/>
        </w:rPr>
        <w:t xml:space="preserve">scripts/sync_kosha_corpus.py</w:t>
      </w:r>
      <w:r>
        <w:t xml:space="preserve">.</w:t>
      </w:r>
    </w:p>
    <w:p>
      <w:r>
        <w:pict>
          <v:rect style="width:0;height:1.5pt" o:hralign="center" o:hrstd="t" o:hr="t"/>
        </w:pict>
      </w:r>
    </w:p>
    <w:bookmarkEnd w:id="81"/>
    <w:bookmarkEnd w:id="82"/>
    <w:bookmarkStart w:id="85" w:name="references"/>
    <w:p>
      <w:pPr>
        <w:pStyle w:val="Heading2"/>
      </w:pPr>
      <w:r>
        <w:t xml:space="preserve">References</w:t>
      </w:r>
    </w:p>
    <w:p>
      <w:pPr>
        <w:pStyle w:val="FirstParagraph"/>
      </w:pPr>
      <w:r>
        <w:rPr>
          <w:b/>
          <w:bCs/>
        </w:rPr>
        <w:t xml:space="preserve">[1]</w:t>
      </w:r>
      <w:r>
        <w:t xml:space="preserve"> </w:t>
      </w:r>
      <w:r>
        <w:t xml:space="preserve">Selvam, D.C., Raja, T., Vaghela, D.R., Meena, M., Tripathy, S., Kumar, B., Manjunath, H.R., Mehar, K., Devarajan, Y. (2026). Artificial intelligence in process safety: A review of opportunities, challenges, and future directions for the chemical process industries.</w:t>
      </w:r>
      <w:r>
        <w:t xml:space="preserve"> </w:t>
      </w:r>
      <w:r>
        <w:rPr>
          <w:i/>
          <w:iCs/>
        </w:rPr>
        <w:t xml:space="preserve">Journal of Loss Prevention in the Process Industries.</w:t>
      </w:r>
      <w:r>
        <w:t xml:space="preserve"> </w:t>
      </w:r>
      <w:r>
        <w:t xml:space="preserve">DOI: 10.1016/j.jlp.2026.105917</w:t>
      </w:r>
    </w:p>
    <w:p>
      <w:pPr>
        <w:pStyle w:val="BodyText"/>
      </w:pPr>
      <w:r>
        <w:rPr>
          <w:b/>
          <w:bCs/>
        </w:rPr>
        <w:t xml:space="preserve">[2]</w:t>
      </w:r>
      <w:r>
        <w:t xml:space="preserve"> </w:t>
      </w:r>
      <w:r>
        <w:t xml:space="preserve">Woo, T., Kim, S., Tariq, S., Heo, S., Yoo, C. (2025). Leveraging Generative AI and Large Language Model for Process Systems Engineering: A State-of-the-Art Review.</w:t>
      </w:r>
      <w:r>
        <w:t xml:space="preserve"> </w:t>
      </w:r>
      <w:r>
        <w:rPr>
          <w:i/>
          <w:iCs/>
        </w:rPr>
        <w:t xml:space="preserve">Korean Journal of Chemical Engineering,</w:t>
      </w:r>
      <w:r>
        <w:t xml:space="preserve"> </w:t>
      </w:r>
      <w:r>
        <w:t xml:space="preserve">42, 2787-2808. DOI: 10.1007/s11814-025-00524-y</w:t>
      </w:r>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pPr>
      <w:r>
        <w:rPr>
          <w:b/>
          <w:bCs/>
        </w:rPr>
        <w:t xml:space="preserve">[4]</w:t>
      </w:r>
      <w:r>
        <w:t xml:space="preserve"> </w:t>
      </w:r>
      <w:r>
        <w:t xml:space="preserve">Walavalkar, V. et al. (2021). Machine Learning and Deep Learning in Chemical Health and Safety: A Systematic Review of Techniques and Applications.</w:t>
      </w:r>
      <w:r>
        <w:t xml:space="preserve"> </w:t>
      </w:r>
      <w:r>
        <w:rPr>
          <w:i/>
          <w:iCs/>
        </w:rPr>
        <w:t xml:space="preserve">ACS Chemical Health &amp; Safety.</w:t>
      </w:r>
      <w:r>
        <w:t xml:space="preserve"> </w:t>
      </w:r>
      <w:r>
        <w:t xml:space="preserve">DOI: 10.1021/acs.chas.0c00075</w:t>
      </w:r>
    </w:p>
    <w:p>
      <w:pPr>
        <w:pStyle w:val="BodyText"/>
      </w:pPr>
      <w:r>
        <w:rPr>
          <w:b/>
          <w:bCs/>
        </w:rPr>
        <w:t xml:space="preserve">[5]</w:t>
      </w:r>
      <w:r>
        <w:t xml:space="preserve"> </w:t>
      </w:r>
      <w:r>
        <w:t xml:space="preserve">Lewis, P., Perez, E., Piktus, A. et al. (2020). Retrieval-Augmented Generation for Knowledge-Intensive NLP Tasks.</w:t>
      </w:r>
      <w:r>
        <w:t xml:space="preserve"> </w:t>
      </w:r>
      <w:r>
        <w:rPr>
          <w:i/>
          <w:iCs/>
        </w:rPr>
        <w:t xml:space="preserve">Advances in Neural Information Processing Systems (NeurIPS 2020),</w:t>
      </w:r>
      <w:r>
        <w:t xml:space="preserve"> </w:t>
      </w:r>
      <w:r>
        <w:t xml:space="preserve">33, 9459-9474.</w:t>
      </w:r>
    </w:p>
    <w:p>
      <w:pPr>
        <w:pStyle w:val="BodyText"/>
      </w:pPr>
      <w:r>
        <w:rPr>
          <w:b/>
          <w:bCs/>
        </w:rPr>
        <w:t xml:space="preserve">[6]</w:t>
      </w:r>
      <w:r>
        <w:t xml:space="preserve"> </w:t>
      </w:r>
      <w:r>
        <w:t xml:space="preserve">Walker, C., Aslansefat, K., Akram, M.N., Papadopoulos, Y. (2026). RAGuard: A Novel Approach for In-Context Safe Retrieval Augmented Generation for LLMs. In: Katsaros, P. (ed.)</w:t>
      </w:r>
      <w:r>
        <w:t xml:space="preserve"> </w:t>
      </w:r>
      <w:r>
        <w:rPr>
          <w:i/>
          <w:iCs/>
        </w:rPr>
        <w:t xml:space="preserve">Model-Based Safety and Assessment. IMBSA 2025.</w:t>
      </w:r>
      <w:r>
        <w:t xml:space="preserve"> </w:t>
      </w:r>
      <w:r>
        <w:t xml:space="preserve">Lecture Notes in Computer Science, vol 15755. Springer, Cham. DOI: 10.1007/978-3-032-05073-1_13</w:t>
      </w:r>
    </w:p>
    <w:p>
      <w:pPr>
        <w:pStyle w:val="BodyText"/>
      </w:pPr>
      <w:r>
        <w:rPr>
          <w:b/>
          <w:bCs/>
        </w:rPr>
        <w:t xml:space="preserve">[7]</w:t>
      </w:r>
      <w:r>
        <w:t xml:space="preserve"> </w:t>
      </w:r>
      <w:r>
        <w:t xml:space="preserve">Klesel, M., Wittmann, H.F. (2025). Retrieval-Augmented Generation (RAG).</w:t>
      </w:r>
      <w:r>
        <w:t xml:space="preserve"> </w:t>
      </w:r>
      <w:r>
        <w:rPr>
          <w:i/>
          <w:iCs/>
        </w:rPr>
        <w:t xml:space="preserve">Business &amp; Information Systems Engineering,</w:t>
      </w:r>
      <w:r>
        <w:t xml:space="preserve"> </w:t>
      </w:r>
      <w:r>
        <w:t xml:space="preserve">67(4), 551-561. DOI: 10.1007/s12599-025-00945-3</w:t>
      </w:r>
    </w:p>
    <w:p>
      <w:pPr>
        <w:pStyle w:val="BodyText"/>
      </w:pPr>
      <w:r>
        <w:rPr>
          <w:b/>
          <w:bCs/>
        </w:rPr>
        <w:t xml:space="preserve">[8]</w:t>
      </w:r>
      <w:r>
        <w:t xml:space="preserve"> </w:t>
      </w:r>
      <w:r>
        <w:t xml:space="preserve">Jones, J.F., Raj, V., Abas, P.E., Petra, M.I., Sivan, D., Satheesh Kumar, K., Jose, R., Mathew, S. (2025). Application of artificial intelligence for asset integrity management of offshore oil and gas pipelines.</w:t>
      </w:r>
      <w:r>
        <w:t xml:space="preserve"> </w:t>
      </w:r>
      <w:r>
        <w:rPr>
          <w:i/>
          <w:iCs/>
        </w:rPr>
        <w:t xml:space="preserve">Life Cycle Reliability and Safety Engineering.</w:t>
      </w:r>
      <w:r>
        <w:t xml:space="preserve"> </w:t>
      </w:r>
      <w:r>
        <w:t xml:space="preserve">DOI: 10.1007/s41872-025-00353-2</w:t>
      </w:r>
    </w:p>
    <w:p>
      <w:pPr>
        <w:pStyle w:val="BodyText"/>
      </w:pPr>
      <w:r>
        <w:rPr>
          <w:b/>
          <w:bCs/>
        </w:rPr>
        <w:t xml:space="preserve">[9]</w:t>
      </w:r>
      <w:r>
        <w:t xml:space="preserve"> </w:t>
      </w:r>
      <w:r>
        <w:t xml:space="preserve">Hector, I., Panjanathan, R. (2024). Predictive maintenance in Industry 4.0: a survey of planning models and machine learning techniques.</w:t>
      </w:r>
      <w:r>
        <w:t xml:space="preserve"> </w:t>
      </w:r>
      <w:r>
        <w:rPr>
          <w:i/>
          <w:iCs/>
        </w:rPr>
        <w:t xml:space="preserve">PeerJ Computer Science,</w:t>
      </w:r>
      <w:r>
        <w:t xml:space="preserve"> </w:t>
      </w:r>
      <w:r>
        <w:t xml:space="preserve">10, e2016. DOI: 10.7717/peerj-cs.2016</w:t>
      </w:r>
    </w:p>
    <w:p>
      <w:pPr>
        <w:pStyle w:val="BodyText"/>
      </w:pPr>
      <w:r>
        <w:rPr>
          <w:b/>
          <w:bCs/>
        </w:rPr>
        <w:t xml:space="preserve">[10]</w:t>
      </w:r>
      <w:r>
        <w:t xml:space="preserve"> </w:t>
      </w:r>
      <w:r>
        <w:t xml:space="preserve">Ait-Alla, A., Quandt, M., Lütjen, M., Freitag, M. (2022). On Predictive Maintenance in Industry 4.0: Overview, Models, and Challenges.</w:t>
      </w:r>
      <w:r>
        <w:t xml:space="preserve"> </w:t>
      </w:r>
      <w:r>
        <w:rPr>
          <w:i/>
          <w:iCs/>
        </w:rPr>
        <w:t xml:space="preserve">Applied Sciences,</w:t>
      </w:r>
      <w:r>
        <w:t xml:space="preserve"> </w:t>
      </w:r>
      <w:r>
        <w:t xml:space="preserve">12(16), 8081. DOI: 10.3390/app12168081</w:t>
      </w:r>
    </w:p>
    <w:p>
      <w:pPr>
        <w:pStyle w:val="BodyText"/>
      </w:pPr>
      <w:r>
        <w:rPr>
          <w:b/>
          <w:bCs/>
        </w:rPr>
        <w:t xml:space="preserve">[11]</w:t>
      </w:r>
      <w:r>
        <w:t xml:space="preserve"> </w:t>
      </w:r>
      <w:r>
        <w:t xml:space="preserve">Avizienis, A. (1985). The N-version approach to fault-tolerant software.</w:t>
      </w:r>
      <w:r>
        <w:t xml:space="preserve"> </w:t>
      </w:r>
      <w:r>
        <w:rPr>
          <w:i/>
          <w:iCs/>
        </w:rPr>
        <w:t xml:space="preserve">IEEE Transactions on Software Engineering,</w:t>
      </w:r>
      <w:r>
        <w:t xml:space="preserve"> </w:t>
      </w:r>
      <w:r>
        <w:t xml:space="preserve">SE-11(12), 1491-1501.</w:t>
      </w:r>
    </w:p>
    <w:p>
      <w:pPr>
        <w:pStyle w:val="BodyText"/>
      </w:pPr>
      <w:r>
        <w:rPr>
          <w:b/>
          <w:bCs/>
        </w:rPr>
        <w:t xml:space="preserve">[12]</w:t>
      </w:r>
      <w:r>
        <w:t xml:space="preserve"> </w:t>
      </w:r>
      <w:r>
        <w:t xml:space="preserve">Kim, H., Yi, J.-S., Jang, Y. (2022). Analyzing Patterns of Multi-cause Accidents From KOSHA’s Construction Injury Case Reports Utilizing Text Mining Methodology.</w:t>
      </w:r>
      <w:r>
        <w:t xml:space="preserve"> </w:t>
      </w:r>
      <w:r>
        <w:rPr>
          <w:i/>
          <w:iCs/>
        </w:rPr>
        <w:t xml:space="preserve">Journal of the Architectural Institute of Korea,</w:t>
      </w:r>
      <w:r>
        <w:t xml:space="preserve"> </w:t>
      </w:r>
      <w:r>
        <w:t xml:space="preserve">38(4), 237-244. DOI: 10.5659/JAIK.2022.38.4.237</w:t>
      </w:r>
    </w:p>
    <w:p>
      <w:pPr>
        <w:pStyle w:val="BodyText"/>
      </w:pPr>
      <w:r>
        <w:rPr>
          <w:b/>
          <w:bCs/>
        </w:rPr>
        <w:t xml:space="preserve">[13]</w:t>
      </w:r>
      <w:r>
        <w:t xml:space="preserve"> </w:t>
      </w:r>
      <w:r>
        <w:t xml:space="preserve">Lee, J., Ahn, S. (2025). Development of AI Prototype for Generating Construction Safety Guidelines Through Fine-Tuning of Large-Scale Language Model.</w:t>
      </w:r>
      <w:r>
        <w:t xml:space="preserve"> </w:t>
      </w:r>
      <w:r>
        <w:rPr>
          <w:i/>
          <w:iCs/>
        </w:rPr>
        <w:t xml:space="preserve">Korean Journal of Construction Engineering and Management,</w:t>
      </w:r>
      <w:r>
        <w:t xml:space="preserve"> </w:t>
      </w:r>
      <w:r>
        <w:t xml:space="preserve">26(2), 20-31. DOI: 10.6106/KJCEM.2025.26.2.020</w:t>
      </w:r>
    </w:p>
    <w:p>
      <w:pPr>
        <w:pStyle w:val="BodyText"/>
      </w:pPr>
      <w:r>
        <w:rPr>
          <w:b/>
          <w:bCs/>
        </w:rPr>
        <w:t xml:space="preserve">[14]</w:t>
      </w:r>
      <w:r>
        <w:t xml:space="preserve"> </w:t>
      </w:r>
      <w:r>
        <w:t xml:space="preserve">Robertson, S., Zaragoza, H. (2009). The Probabilistic Relevance Framework: BM25 and Beyond.</w:t>
      </w:r>
      <w:r>
        <w:t xml:space="preserve"> </w:t>
      </w:r>
      <w:r>
        <w:rPr>
          <w:i/>
          <w:iCs/>
        </w:rPr>
        <w:t xml:space="preserve">Foundations and Trends in Information Retrieval,</w:t>
      </w:r>
      <w:r>
        <w:t xml:space="preserve"> </w:t>
      </w:r>
      <w:r>
        <w:t xml:space="preserve">3(4), 333-389. DOI: 10.1561/1500000019</w:t>
      </w:r>
    </w:p>
    <w:p>
      <w:pPr>
        <w:pStyle w:val="BodyText"/>
      </w:pPr>
      <w:r>
        <w:rPr>
          <w:b/>
          <w:bCs/>
        </w:rPr>
        <w:t xml:space="preserve">[15]</w:t>
      </w:r>
      <w:r>
        <w:t xml:space="preserve"> </w:t>
      </w:r>
      <w:r>
        <w:t xml:space="preserve">Gao, Y., Xiong, Y., Huang, X. et al. (2024). Retrieval-Augmented Generation for Large Language Models: A Survey.</w:t>
      </w:r>
      <w:r>
        <w:t xml:space="preserve"> </w:t>
      </w:r>
      <w:r>
        <w:rPr>
          <w:i/>
          <w:iCs/>
        </w:rPr>
        <w:t xml:space="preserve">arXiv preprint arXiv:2312.10997.</w:t>
      </w:r>
    </w:p>
    <w:p>
      <w:pPr>
        <w:pStyle w:val="BodyText"/>
      </w:pPr>
      <w:r>
        <w:rPr>
          <w:b/>
          <w:bCs/>
        </w:rPr>
        <w:t xml:space="preserve">[16]</w:t>
      </w:r>
      <w:r>
        <w:t xml:space="preserve"> </w:t>
      </w:r>
      <w:r>
        <w:t xml:space="preserve">ASME (2022).</w:t>
      </w:r>
      <w:r>
        <w:t xml:space="preserve"> </w:t>
      </w:r>
      <w:r>
        <w:rPr>
          <w:i/>
          <w:iCs/>
        </w:rPr>
        <w:t xml:space="preserve">ASME B31.3-2022: Process Piping.</w:t>
      </w:r>
      <w:r>
        <w:t xml:space="preserve"> </w:t>
      </w:r>
      <w:r>
        <w:t xml:space="preserve">The American Society of Mechanical Engineers, New York.</w:t>
      </w:r>
    </w:p>
    <w:p>
      <w:pPr>
        <w:pStyle w:val="BodyText"/>
      </w:pPr>
      <w:r>
        <w:rPr>
          <w:b/>
          <w:bCs/>
        </w:rPr>
        <w:t xml:space="preserve">[17]</w:t>
      </w:r>
      <w:r>
        <w:t xml:space="preserve"> </w:t>
      </w:r>
      <w:r>
        <w:t xml:space="preserve">API (2020).</w:t>
      </w:r>
      <w:r>
        <w:t xml:space="preserve"> </w:t>
      </w:r>
      <w:r>
        <w:rPr>
          <w:i/>
          <w:iCs/>
        </w:rPr>
        <w:t xml:space="preserve">API 579-1/ASME FFS-1: Fitness-For-Service,</w:t>
      </w:r>
      <w:r>
        <w:t xml:space="preserve"> </w:t>
      </w:r>
      <w:r>
        <w:t xml:space="preserve">3rd ed. American Petroleum Institute, Washington, DC.</w:t>
      </w:r>
    </w:p>
    <w:p>
      <w:pPr>
        <w:pStyle w:val="BodyText"/>
      </w:pPr>
      <w:r>
        <w:rPr>
          <w:b/>
          <w:bCs/>
        </w:rPr>
        <w:t xml:space="preserve">[18]</w:t>
      </w:r>
      <w:r>
        <w:t xml:space="preserve"> </w:t>
      </w:r>
      <w:r>
        <w:t xml:space="preserve">KOSHA (2026).</w:t>
      </w:r>
      <w:r>
        <w:t xml:space="preserve"> </w:t>
      </w:r>
      <w:r>
        <w:rPr>
          <w:i/>
          <w:iCs/>
        </w:rPr>
        <w:t xml:space="preserve">KOSHA Guide Technical Regulations Portal.</w:t>
      </w:r>
      <w:r>
        <w:t xml:space="preserve"> </w:t>
      </w:r>
      <w:r>
        <w:t xml:space="preserve">Korea Occupational Safety and Health Agency. Available:</w:t>
      </w:r>
      <w:r>
        <w:t xml:space="preserve"> </w:t>
      </w:r>
      <w:hyperlink r:id="rId83">
        <w:r>
          <w:rPr>
            <w:rStyle w:val="Hyperlink"/>
          </w:rPr>
          <w:t xml:space="preserve">https://www.kosha.or.kr</w:t>
        </w:r>
      </w:hyperlink>
    </w:p>
    <w:p>
      <w:pPr>
        <w:pStyle w:val="BodyText"/>
      </w:pPr>
      <w:r>
        <w:rPr>
          <w:b/>
          <w:bCs/>
        </w:rPr>
        <w:t xml:space="preserve">[19]</w:t>
      </w:r>
      <w:r>
        <w:t xml:space="preserve"> </w:t>
      </w:r>
      <w:r>
        <w:t xml:space="preserve">Ministry of Employment and Labor, Republic of Korea.</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(Corrosion Prevention). Available via the National Law Information Center:</w:t>
      </w:r>
      <w:r>
        <w:t xml:space="preserve"> </w:t>
      </w:r>
      <w:hyperlink r:id="rId84">
        <w:r>
          <w:rPr>
            <w:rStyle w:val="Hyperlink"/>
          </w:rPr>
          <w:t xml:space="preserve">https://www.law.go.kr</w:t>
        </w:r>
      </w:hyperlink>
      <w:r>
        <w:t xml:space="preserve">.</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hyperlink" Id="rId66" Target="https://github.com/yuyongkim/did-you-check-kosha"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_rels/footnotes.xml.rels><?xml version="1.0" encoding="UTF-8"?><Relationships xmlns="http://schemas.openxmlformats.org/package/2006/relationships"><Relationship Type="http://schemas.openxmlformats.org/officeDocument/2006/relationships/hyperlink" Id="rId66" Target="https://github.com/yuyongkim/did-you-check-kosha"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2026-05-10T13:38:14Z</dcterms:created>
  <dcterms:modified xsi:type="dcterms:W3CDTF">2026-05-10T13:38:14Z</dcterms:modified>
</cp:coreProperties>
</file>

<file path=docProps/custom.xml><?xml version="1.0" encoding="utf-8"?>
<Properties xmlns="http://schemas.openxmlformats.org/officeDocument/2006/custom-properties" xmlns:vt="http://schemas.openxmlformats.org/officeDocument/2006/docPropsVTypes"/>
</file>