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6.4.0 -->
  <w:body>
    <w:p w:rsidR="00296C14" w:rsidRPr="00296C14" w:rsidP="00296C14" w14:paraId="151107AA" w14:textId="77777777">
      <w:r w:rsidRPr="00296C14">
        <w:t xml:space="preserve">This manuscript presents a </w:t>
      </w:r>
      <w:r w:rsidRPr="00296C14">
        <w:rPr>
          <w:b/>
          <w:bCs/>
        </w:rPr>
        <w:t>novel and relevant contribution</w:t>
      </w:r>
      <w:r w:rsidRPr="00296C14">
        <w:t xml:space="preserve"> to process safety by introducing the concept of the </w:t>
      </w:r>
      <w:r w:rsidRPr="00296C14">
        <w:rPr>
          <w:i/>
          <w:iCs/>
        </w:rPr>
        <w:t>jurisdiction compliance gap</w:t>
      </w:r>
      <w:r w:rsidRPr="00296C14">
        <w:t xml:space="preserve"> and proposing a Regulatory RAG–based verification layer to bridge engineering calculations and regulatory obligations. The topic is highly aligned with modern challenges in digitalisation, PSM compliance, and multi-standard environments (e.g., ASME/API vs national regulations such as KOSHA). The integration of cross-discipline validation and regulatory retrieval is particularly promising and could have strong industrial impact.</w:t>
      </w:r>
    </w:p>
    <w:p w:rsidR="00296C14" w:rsidRPr="00296C14" w:rsidP="00296C14" w14:paraId="495FC0DA" w14:textId="77777777">
      <w:r w:rsidRPr="00296C14">
        <w:t>However, several areas require strengthening before the work is suitable for publication:</w:t>
      </w:r>
    </w:p>
    <w:p w:rsidR="00296C14" w:rsidRPr="00296C14" w:rsidP="00296C14" w14:paraId="79764F99" w14:textId="77777777">
      <w:pPr>
        <w:numPr>
          <w:ilvl w:val="0"/>
          <w:numId w:val="1"/>
        </w:numPr>
      </w:pPr>
      <w:r w:rsidRPr="00296C14">
        <w:rPr>
          <w:b/>
          <w:bCs/>
        </w:rPr>
        <w:t>Clarification and strengthening of the regulatory basis (KOSHA relevance)</w:t>
      </w:r>
      <w:r w:rsidRPr="00296C14">
        <w:br/>
        <w:t xml:space="preserve">While the manuscript clearly references KOSHA guidance (e.g., M-69-2012, C-C-23-2026, Article 256), the link between engineering outputs and regulatory obligations should be made more explicit. The authors should: </w:t>
      </w:r>
    </w:p>
    <w:p w:rsidR="00296C14" w:rsidRPr="00296C14" w:rsidP="00296C14" w14:paraId="4AD889B5" w14:textId="77777777">
      <w:pPr>
        <w:numPr>
          <w:ilvl w:val="1"/>
          <w:numId w:val="1"/>
        </w:numPr>
      </w:pPr>
      <w:r w:rsidRPr="00296C14">
        <w:t xml:space="preserve">Provide clause-level citations and short extracts where possible </w:t>
      </w:r>
    </w:p>
    <w:p w:rsidR="00296C14" w:rsidRPr="00296C14" w:rsidP="00296C14" w14:paraId="7027B899" w14:textId="77777777">
      <w:pPr>
        <w:numPr>
          <w:ilvl w:val="1"/>
          <w:numId w:val="1"/>
        </w:numPr>
      </w:pPr>
      <w:r w:rsidRPr="00296C14">
        <w:t xml:space="preserve">Clarify whether requirements are mandatory vs guidance </w:t>
      </w:r>
    </w:p>
    <w:p w:rsidR="00296C14" w:rsidRPr="00296C14" w:rsidP="00296C14" w14:paraId="3EE1A93D" w14:textId="77777777">
      <w:pPr>
        <w:numPr>
          <w:ilvl w:val="1"/>
          <w:numId w:val="1"/>
        </w:numPr>
      </w:pPr>
      <w:r w:rsidRPr="00296C14">
        <w:t xml:space="preserve">Demonstrate more explicitly how each obligation is not already covered in standard EPC workflows </w:t>
      </w:r>
    </w:p>
    <w:p w:rsidR="00296C14" w:rsidRPr="00296C14" w:rsidP="00296C14" w14:paraId="7226531D" w14:textId="77777777">
      <w:pPr>
        <w:numPr>
          <w:ilvl w:val="0"/>
          <w:numId w:val="1"/>
        </w:numPr>
      </w:pPr>
      <w:r w:rsidRPr="00296C14">
        <w:rPr>
          <w:b/>
          <w:bCs/>
        </w:rPr>
        <w:t>Reproducibility and methodological transparency</w:t>
      </w:r>
      <w:r w:rsidRPr="00296C14">
        <w:br/>
        <w:t xml:space="preserve">The architecture is well described conceptually, but the study would benefit from: </w:t>
      </w:r>
    </w:p>
    <w:p w:rsidR="00296C14" w:rsidRPr="00296C14" w:rsidP="00296C14" w14:paraId="434F6417" w14:textId="77777777">
      <w:pPr>
        <w:numPr>
          <w:ilvl w:val="1"/>
          <w:numId w:val="1"/>
        </w:numPr>
      </w:pPr>
      <w:r w:rsidRPr="00296C14">
        <w:t xml:space="preserve">More detailed explanation of the calculation engines and orchestration logic </w:t>
      </w:r>
    </w:p>
    <w:p w:rsidR="00296C14" w:rsidRPr="00296C14" w:rsidP="00296C14" w14:paraId="57BF9734" w14:textId="77777777">
      <w:pPr>
        <w:numPr>
          <w:ilvl w:val="1"/>
          <w:numId w:val="1"/>
        </w:numPr>
      </w:pPr>
      <w:r w:rsidRPr="00296C14">
        <w:t xml:space="preserve">Clearer description of synthetic dataset generation </w:t>
      </w:r>
    </w:p>
    <w:p w:rsidR="00296C14" w:rsidRPr="00296C14" w:rsidP="00296C14" w14:paraId="6C187F5A" w14:textId="77777777">
      <w:pPr>
        <w:numPr>
          <w:ilvl w:val="1"/>
          <w:numId w:val="1"/>
        </w:numPr>
      </w:pPr>
      <w:r w:rsidRPr="00296C14">
        <w:t xml:space="preserve">Formalisation of the RAG query and prompting strategy </w:t>
      </w:r>
    </w:p>
    <w:p w:rsidR="00296C14" w:rsidRPr="00296C14" w:rsidP="00296C14" w14:paraId="02DA9B42" w14:textId="77777777">
      <w:pPr>
        <w:numPr>
          <w:ilvl w:val="0"/>
          <w:numId w:val="1"/>
        </w:numPr>
      </w:pPr>
      <w:r w:rsidRPr="00296C14">
        <w:rPr>
          <w:b/>
          <w:bCs/>
        </w:rPr>
        <w:t>Validation and statistical rigor</w:t>
      </w:r>
      <w:r w:rsidRPr="00296C14">
        <w:br/>
        <w:t xml:space="preserve">The evaluation relies heavily on synthetic datasets with near-perfect scores. This is acceptable for a proof-of-feasibility study, but the authors should: </w:t>
      </w:r>
    </w:p>
    <w:p w:rsidR="00296C14" w:rsidRPr="00296C14" w:rsidP="00296C14" w14:paraId="1782D453" w14:textId="77777777">
      <w:pPr>
        <w:numPr>
          <w:ilvl w:val="1"/>
          <w:numId w:val="1"/>
        </w:numPr>
      </w:pPr>
      <w:r w:rsidRPr="00296C14">
        <w:t xml:space="preserve">Clearly position results as implementation verification rather than predictive validation </w:t>
      </w:r>
    </w:p>
    <w:p w:rsidR="00296C14" w:rsidRPr="00296C14" w:rsidP="00296C14" w14:paraId="1118211D" w14:textId="77777777">
      <w:pPr>
        <w:numPr>
          <w:ilvl w:val="1"/>
          <w:numId w:val="1"/>
        </w:numPr>
      </w:pPr>
      <w:r w:rsidRPr="00296C14">
        <w:t xml:space="preserve">Add uncertainty discussion or sensitivity analysis </w:t>
      </w:r>
    </w:p>
    <w:p w:rsidR="00296C14" w:rsidRPr="00296C14" w:rsidP="00296C14" w14:paraId="65BB1F6A" w14:textId="77777777">
      <w:pPr>
        <w:numPr>
          <w:ilvl w:val="1"/>
          <w:numId w:val="1"/>
        </w:numPr>
      </w:pPr>
      <w:r w:rsidRPr="00296C14">
        <w:t xml:space="preserve">Expand or better justify the retrieval benchmark size and representativeness </w:t>
      </w:r>
    </w:p>
    <w:p w:rsidR="00296C14" w:rsidRPr="00296C14" w:rsidP="00296C14" w14:paraId="56B10318" w14:textId="77777777">
      <w:pPr>
        <w:numPr>
          <w:ilvl w:val="0"/>
          <w:numId w:val="1"/>
        </w:numPr>
      </w:pPr>
      <w:r w:rsidRPr="00296C14">
        <w:rPr>
          <w:b/>
          <w:bCs/>
        </w:rPr>
        <w:t>Application scope – HAZOP clarification</w:t>
      </w:r>
      <w:r w:rsidRPr="00296C14">
        <w:br/>
        <w:t xml:space="preserve">The manuscript would benefit from clarifying that the proposed approach is best suited for: </w:t>
      </w:r>
    </w:p>
    <w:p w:rsidR="00296C14" w:rsidRPr="00296C14" w:rsidP="00296C14" w14:paraId="5FD08489" w14:textId="77777777">
      <w:pPr>
        <w:numPr>
          <w:ilvl w:val="1"/>
          <w:numId w:val="1"/>
        </w:numPr>
      </w:pPr>
      <w:r w:rsidRPr="00296C14">
        <w:t xml:space="preserve">Knowledge-based or AI-assisted HAZOP support, where structured data and rules can be leveraged </w:t>
      </w:r>
    </w:p>
    <w:p w:rsidR="00296C14" w:rsidRPr="00296C14" w:rsidP="00296C14" w14:paraId="5D796D49" w14:textId="77777777">
      <w:pPr>
        <w:numPr>
          <w:ilvl w:val="1"/>
          <w:numId w:val="1"/>
        </w:numPr>
      </w:pPr>
      <w:r w:rsidRPr="00296C14">
        <w:t xml:space="preserve">and not a replacement for conventional dynamic HAZOP, which remains a brainstorming-based, multidisciplinary workshop process relying on expert judgement and interaction </w:t>
      </w:r>
    </w:p>
    <w:p w:rsidR="00296C14" w:rsidRPr="00296C14" w:rsidP="00296C14" w14:paraId="16626A7B" w14:textId="77777777">
      <w:pPr>
        <w:numPr>
          <w:ilvl w:val="0"/>
          <w:numId w:val="1"/>
        </w:numPr>
      </w:pPr>
      <w:r w:rsidRPr="00296C14">
        <w:rPr>
          <w:b/>
          <w:bCs/>
        </w:rPr>
        <w:t>Fitness-for-Service (FFS) vs EPC standards</w:t>
      </w:r>
      <w:r w:rsidRPr="00296C14">
        <w:br/>
        <w:t xml:space="preserve">The relationship between fitness-for-service (e.g., API 579) and EPC design standards (e.g., ASME, API design codes) should be explained more clearly. In particular: </w:t>
      </w:r>
    </w:p>
    <w:p w:rsidR="00296C14" w:rsidRPr="00296C14" w:rsidP="00296C14" w14:paraId="589BA5CE" w14:textId="77777777">
      <w:pPr>
        <w:numPr>
          <w:ilvl w:val="1"/>
          <w:numId w:val="1"/>
        </w:numPr>
      </w:pPr>
      <w:r w:rsidRPr="00296C14">
        <w:t xml:space="preserve">How FFS outputs interact with regulatory obligations </w:t>
      </w:r>
    </w:p>
    <w:p w:rsidR="00296C14" w:rsidRPr="00296C14" w:rsidP="00296C14" w14:paraId="6634C7B8" w14:textId="77777777">
      <w:pPr>
        <w:numPr>
          <w:ilvl w:val="1"/>
          <w:numId w:val="1"/>
        </w:numPr>
      </w:pPr>
      <w:r w:rsidRPr="00296C14">
        <w:t xml:space="preserve">Whether the system treats FFS as design validation, operational assessment, or both </w:t>
      </w:r>
    </w:p>
    <w:p w:rsidR="00296C14" w:rsidRPr="00296C14" w:rsidP="00296C14" w14:paraId="11DECFAA" w14:textId="77777777">
      <w:pPr>
        <w:numPr>
          <w:ilvl w:val="1"/>
          <w:numId w:val="1"/>
        </w:numPr>
      </w:pPr>
      <w:r w:rsidRPr="00296C14">
        <w:t xml:space="preserve">How this affects compliance detection in the proposed framework </w:t>
      </w:r>
    </w:p>
    <w:p w:rsidR="00296C14" w:rsidRPr="00296C14" w:rsidP="00296C14" w14:paraId="2BD15CDD" w14:textId="77777777">
      <w:pPr>
        <w:numPr>
          <w:ilvl w:val="0"/>
          <w:numId w:val="1"/>
        </w:numPr>
      </w:pPr>
      <w:r w:rsidRPr="00296C14">
        <w:rPr>
          <w:b/>
          <w:bCs/>
        </w:rPr>
        <w:t>Figures and structure improvements</w:t>
      </w:r>
      <w:r w:rsidRPr="00296C14">
        <w:br/>
        <w:t xml:space="preserve">The manuscript would benefit significantly from: </w:t>
      </w:r>
    </w:p>
    <w:p w:rsidR="00296C14" w:rsidRPr="00296C14" w:rsidP="00296C14" w14:paraId="19E4554B" w14:textId="77777777">
      <w:pPr>
        <w:numPr>
          <w:ilvl w:val="1"/>
          <w:numId w:val="1"/>
        </w:numPr>
      </w:pPr>
      <w:r w:rsidRPr="00296C14">
        <w:t xml:space="preserve">A system architecture diagram </w:t>
      </w:r>
    </w:p>
    <w:p w:rsidR="00296C14" w:rsidRPr="00296C14" w:rsidP="00296C14" w14:paraId="67A8CAE7" w14:textId="77777777">
      <w:pPr>
        <w:numPr>
          <w:ilvl w:val="1"/>
          <w:numId w:val="1"/>
        </w:numPr>
      </w:pPr>
      <w:r w:rsidRPr="00296C14">
        <w:t xml:space="preserve">A RAG workflow diagram </w:t>
      </w:r>
    </w:p>
    <w:p w:rsidR="00296C14" w:rsidRPr="00296C14" w:rsidP="00296C14" w14:paraId="517CE3A6" w14:textId="77777777">
      <w:pPr>
        <w:numPr>
          <w:ilvl w:val="1"/>
          <w:numId w:val="1"/>
        </w:numPr>
      </w:pPr>
      <w:r w:rsidRPr="00296C14">
        <w:t xml:space="preserve">Improved visualisation of cross-discipline coupling logic </w:t>
      </w:r>
    </w:p>
    <w:p w:rsidR="00296C14" w:rsidRPr="00296C14" w:rsidP="00296C14" w14:paraId="270AE00F" w14:textId="233E745A">
      <w:pPr>
        <w:numPr>
          <w:ilvl w:val="0"/>
          <w:numId w:val="1"/>
        </w:numPr>
      </w:pPr>
      <w:r w:rsidRPr="00296C14">
        <w:rPr>
          <w:b/>
          <w:bCs/>
        </w:rPr>
        <w:t>Regulatory RAG compared with HAZOP, RBI and digital twin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2292"/>
        <w:gridCol w:w="2347"/>
        <w:gridCol w:w="3008"/>
      </w:tblGrid>
      <w:tr w14:paraId="5445A47C" w14:textId="77777777" w:rsidTr="00296C14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296C14" w:rsidRPr="00296C14" w:rsidP="00296C14" w14:paraId="67427624" w14:textId="77777777">
            <w:pPr>
              <w:spacing w:after="0"/>
              <w:ind w:left="57"/>
              <w:rPr>
                <w:b/>
                <w:bCs/>
              </w:rPr>
            </w:pPr>
            <w:r w:rsidRPr="00296C1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7BBB22FC" w14:textId="77777777">
            <w:pPr>
              <w:spacing w:after="0"/>
              <w:ind w:left="57"/>
              <w:rPr>
                <w:b/>
                <w:bCs/>
              </w:rPr>
            </w:pPr>
            <w:r w:rsidRPr="00296C14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553A0A91" w14:textId="77777777">
            <w:pPr>
              <w:spacing w:after="0"/>
              <w:ind w:left="57"/>
              <w:rPr>
                <w:b/>
                <w:bCs/>
              </w:rPr>
            </w:pPr>
            <w:r w:rsidRPr="00296C14">
              <w:rPr>
                <w:b/>
                <w:bCs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2EB4419B" w14:textId="77777777">
            <w:pPr>
              <w:spacing w:after="0"/>
              <w:ind w:left="57"/>
              <w:rPr>
                <w:b/>
                <w:bCs/>
              </w:rPr>
            </w:pPr>
            <w:r w:rsidRPr="00296C14">
              <w:rPr>
                <w:b/>
                <w:bCs/>
              </w:rPr>
              <w:t>Regulatory RAG value</w:t>
            </w:r>
          </w:p>
        </w:tc>
      </w:tr>
      <w:tr w14:paraId="524AB1FF" w14:textId="77777777" w:rsidTr="00296C14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296C14" w:rsidRPr="00296C14" w:rsidP="00296C14" w14:paraId="0EC40656" w14:textId="77777777">
            <w:pPr>
              <w:spacing w:after="0"/>
              <w:ind w:left="57"/>
            </w:pPr>
            <w:r w:rsidRPr="00296C14">
              <w:rPr>
                <w:b/>
                <w:bCs/>
              </w:rPr>
              <w:t>HAZOP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1133CA31" w14:textId="77777777">
            <w:pPr>
              <w:spacing w:after="0"/>
              <w:ind w:left="57"/>
            </w:pPr>
            <w:r w:rsidRPr="00296C14">
              <w:t>Identify process deviations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0AE06F14" w14:textId="77777777">
            <w:pPr>
              <w:spacing w:after="0"/>
              <w:ind w:left="57"/>
            </w:pPr>
            <w:r w:rsidRPr="00296C14">
              <w:t>Often manual and workshop-based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5F120B5C" w14:textId="77777777">
            <w:pPr>
              <w:spacing w:after="0"/>
              <w:ind w:left="57"/>
            </w:pPr>
            <w:r w:rsidRPr="00296C14">
              <w:t>Adds regulation-linked prompts and missing legal obligations</w:t>
            </w:r>
          </w:p>
        </w:tc>
      </w:tr>
      <w:tr w14:paraId="0C0A4363" w14:textId="77777777" w:rsidTr="00296C14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296C14" w:rsidRPr="00296C14" w:rsidP="00296C14" w14:paraId="169B5ADB" w14:textId="77777777">
            <w:pPr>
              <w:spacing w:after="0"/>
              <w:ind w:left="57"/>
            </w:pPr>
            <w:r w:rsidRPr="00296C14">
              <w:rPr>
                <w:b/>
                <w:bCs/>
              </w:rPr>
              <w:t>RBI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60F94784" w14:textId="77777777">
            <w:pPr>
              <w:spacing w:after="0"/>
              <w:ind w:left="57"/>
            </w:pPr>
            <w:r w:rsidRPr="00296C14">
              <w:t>Optimize inspection based on risk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5639897D" w14:textId="77777777">
            <w:pPr>
              <w:spacing w:after="0"/>
              <w:ind w:left="57"/>
            </w:pPr>
            <w:r w:rsidRPr="00296C14">
              <w:t>Focuses mainly on equipment degradation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785C67E2" w14:textId="77777777">
            <w:pPr>
              <w:spacing w:after="0"/>
              <w:ind w:left="57"/>
            </w:pPr>
            <w:r w:rsidRPr="00296C14">
              <w:t>Adds jurisdiction-specific inspection duties</w:t>
            </w:r>
          </w:p>
        </w:tc>
      </w:tr>
      <w:tr w14:paraId="5BE5B0C1" w14:textId="77777777" w:rsidTr="00296C14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296C14" w:rsidRPr="00296C14" w:rsidP="00296C14" w14:paraId="00C7F13B" w14:textId="77777777">
            <w:pPr>
              <w:spacing w:after="0"/>
              <w:ind w:left="57"/>
            </w:pPr>
            <w:r w:rsidRPr="00296C14">
              <w:rPr>
                <w:b/>
                <w:bCs/>
              </w:rPr>
              <w:t>Digital Twin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117E03C2" w14:textId="77777777">
            <w:pPr>
              <w:spacing w:after="0"/>
              <w:ind w:left="57"/>
            </w:pPr>
            <w:r w:rsidRPr="00296C14">
              <w:t>Live/near-live plant model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2A62DA1C" w14:textId="77777777">
            <w:pPr>
              <w:spacing w:after="0"/>
              <w:ind w:left="57"/>
            </w:pPr>
            <w:r w:rsidRPr="00296C14">
              <w:t>May not know legal obligations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2D561EBB" w14:textId="77777777">
            <w:pPr>
              <w:spacing w:after="0"/>
              <w:ind w:left="57"/>
            </w:pPr>
            <w:r w:rsidRPr="00296C14">
              <w:t>Adds compliance intelligence layer</w:t>
            </w:r>
          </w:p>
        </w:tc>
      </w:tr>
      <w:tr w14:paraId="4B32FDF3" w14:textId="77777777" w:rsidTr="00296C14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296C14" w:rsidRPr="00296C14" w:rsidP="00296C14" w14:paraId="15BAC2E1" w14:textId="77777777">
            <w:pPr>
              <w:spacing w:after="0"/>
              <w:ind w:left="57"/>
            </w:pPr>
            <w:r w:rsidRPr="00296C14">
              <w:rPr>
                <w:b/>
                <w:bCs/>
              </w:rPr>
              <w:t>Regulatory RAG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38D2FCF8" w14:textId="77777777">
            <w:pPr>
              <w:spacing w:after="0"/>
              <w:ind w:left="57"/>
            </w:pPr>
            <w:r w:rsidRPr="00296C14">
              <w:t>Retrieve applicable laws/standards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113F77A9" w14:textId="77777777">
            <w:pPr>
              <w:spacing w:after="0"/>
              <w:ind w:left="57"/>
            </w:pPr>
            <w:r w:rsidRPr="00296C14">
              <w:t>Depends on corpus quality</w:t>
            </w:r>
          </w:p>
        </w:tc>
        <w:tc>
          <w:tcPr>
            <w:tcW w:w="0" w:type="auto"/>
            <w:vAlign w:val="center"/>
            <w:hideMark/>
          </w:tcPr>
          <w:p w:rsidR="00296C14" w:rsidRPr="00296C14" w:rsidP="00296C14" w14:paraId="4ADE3F66" w14:textId="77777777">
            <w:pPr>
              <w:spacing w:after="0"/>
              <w:ind w:left="57"/>
            </w:pPr>
            <w:r w:rsidRPr="00296C14">
              <w:t>Bridges engineering + legal compliance</w:t>
            </w:r>
          </w:p>
        </w:tc>
      </w:tr>
    </w:tbl>
    <w:p w:rsidR="00296C14" w:rsidP="00296C14" w14:paraId="779B8898" w14:textId="77777777">
      <w:pPr>
        <w:ind w:left="720"/>
      </w:pPr>
    </w:p>
    <w:p w:rsidR="00296C14" w:rsidRPr="00296C14" w:rsidP="00296C14" w14:paraId="7E454191" w14:textId="1F902300">
      <w:pPr>
        <w:ind w:left="720"/>
      </w:pPr>
      <w:r w:rsidRPr="00296C14">
        <w:t xml:space="preserve">Best use is not to replace HAZOP/RBI, but to act as a </w:t>
      </w:r>
      <w:r w:rsidRPr="00296C14">
        <w:rPr>
          <w:b/>
          <w:bCs/>
        </w:rPr>
        <w:t>compliance co-pilot</w:t>
      </w:r>
      <w:r w:rsidRPr="00296C14">
        <w:t>:</w:t>
      </w:r>
    </w:p>
    <w:p w:rsidR="00296C14" w:rsidRPr="00296C14" w:rsidP="00296C14" w14:paraId="41F16644" w14:textId="77777777">
      <w:pPr>
        <w:numPr>
          <w:ilvl w:val="0"/>
          <w:numId w:val="4"/>
        </w:numPr>
      </w:pPr>
      <w:r w:rsidRPr="00296C14">
        <w:t xml:space="preserve">Before HAZOP: identify mandatory regulatory nodes </w:t>
      </w:r>
    </w:p>
    <w:p w:rsidR="00296C14" w:rsidRPr="00296C14" w:rsidP="00296C14" w14:paraId="64ED0BA7" w14:textId="77777777">
      <w:pPr>
        <w:numPr>
          <w:ilvl w:val="0"/>
          <w:numId w:val="4"/>
        </w:numPr>
      </w:pPr>
      <w:r w:rsidRPr="00296C14">
        <w:t xml:space="preserve">During design review: detect missing legal requirements </w:t>
      </w:r>
    </w:p>
    <w:p w:rsidR="00296C14" w:rsidRPr="00296C14" w:rsidP="00296C14" w14:paraId="74E4F469" w14:textId="77777777">
      <w:pPr>
        <w:numPr>
          <w:ilvl w:val="0"/>
          <w:numId w:val="4"/>
        </w:numPr>
      </w:pPr>
      <w:r w:rsidRPr="00296C14">
        <w:t xml:space="preserve">During RBI: check whether local inspection triggers are satisfied </w:t>
      </w:r>
    </w:p>
    <w:p w:rsidR="00296C14" w:rsidRPr="00296C14" w:rsidP="00296C14" w14:paraId="0E814BD2" w14:textId="77777777">
      <w:pPr>
        <w:numPr>
          <w:ilvl w:val="0"/>
          <w:numId w:val="4"/>
        </w:numPr>
      </w:pPr>
      <w:r w:rsidRPr="00296C14">
        <w:t>During digital twin operation: flag live compliance gaps</w:t>
      </w:r>
    </w:p>
    <w:p w:rsidR="00296C14" w:rsidRPr="00296C14" w:rsidP="00296C14" w14:paraId="0B0BB5DA" w14:textId="77777777">
      <w:pPr>
        <w:ind w:left="720"/>
      </w:pPr>
    </w:p>
    <w:p w:rsidR="00296C14" w:rsidRPr="00296C14" w:rsidP="00296C14" w14:paraId="7A0E74C7" w14:textId="3A5D8FE1">
      <w:pPr>
        <w:numPr>
          <w:ilvl w:val="0"/>
          <w:numId w:val="1"/>
        </w:numPr>
      </w:pPr>
      <w:r>
        <w:rPr>
          <w:b/>
          <w:bCs/>
        </w:rPr>
        <w:t>Application i</w:t>
      </w:r>
      <w:r w:rsidRPr="00296C14">
        <w:rPr>
          <w:b/>
          <w:bCs/>
        </w:rPr>
        <w:t>n process safety terms</w:t>
      </w:r>
    </w:p>
    <w:p w:rsidR="00296C14" w:rsidRPr="00296C14" w:rsidP="00296C14" w14:paraId="17A2DEBF" w14:textId="77777777">
      <w:pPr>
        <w:ind w:left="720"/>
      </w:pPr>
      <w:r w:rsidRPr="00296C14">
        <w:t>Regulatory RAG acts like a:</w:t>
      </w:r>
    </w:p>
    <w:p w:rsidR="00296C14" w:rsidRPr="00296C14" w:rsidP="00296C14" w14:paraId="5E4800F4" w14:textId="1964EC40">
      <w:pPr>
        <w:numPr>
          <w:ilvl w:val="0"/>
          <w:numId w:val="5"/>
        </w:numPr>
      </w:pPr>
      <w:r w:rsidRPr="00296C14">
        <w:rPr>
          <w:b/>
          <w:bCs/>
        </w:rPr>
        <w:t>Digital Compliance Auditor</w:t>
      </w:r>
      <w:r>
        <w:t xml:space="preserve">: </w:t>
      </w:r>
      <w:r w:rsidRPr="00296C14">
        <w:t>is an automated system that checks whether your design, operation, or documentation complies with regulations—just like a human auditor would.</w:t>
      </w:r>
    </w:p>
    <w:p w:rsidR="00F605DD" w:rsidP="00F605DD" w14:paraId="0B08B1E3" w14:textId="77777777">
      <w:pPr>
        <w:numPr>
          <w:ilvl w:val="0"/>
          <w:numId w:val="5"/>
        </w:numPr>
        <w:spacing w:after="0"/>
        <w:ind w:left="714" w:hanging="357"/>
      </w:pPr>
      <w:r w:rsidRPr="00F605DD">
        <w:rPr>
          <w:b/>
          <w:bCs/>
        </w:rPr>
        <w:t>Automated PSM checker</w:t>
      </w:r>
      <w:r>
        <w:t xml:space="preserve">: </w:t>
      </w:r>
      <w:r w:rsidRPr="00F605DD">
        <w:t>A system that verifies compliance with Process Safety Management (PSM) requirements automatically.</w:t>
      </w:r>
    </w:p>
    <w:p w:rsidR="00296C14" w:rsidRPr="00296C14" w:rsidP="00F605DD" w14:paraId="0B5979FE" w14:textId="10D5C091">
      <w:pPr>
        <w:ind w:left="720"/>
      </w:pPr>
      <w:r w:rsidRPr="00F605DD">
        <w:t>(PSM = SEVESO / OSHA / KOSHA frameworks)</w:t>
      </w:r>
    </w:p>
    <w:p w:rsidR="00F605DD" w:rsidRPr="00F605DD" w:rsidP="00F605DD" w14:paraId="6A6111CC" w14:textId="42160DBB">
      <w:pPr>
        <w:numPr>
          <w:ilvl w:val="0"/>
          <w:numId w:val="5"/>
        </w:numPr>
      </w:pPr>
      <w:r w:rsidRPr="00F605DD">
        <w:rPr>
          <w:b/>
          <w:bCs/>
        </w:rPr>
        <w:t>Real-time regulatory advisor</w:t>
      </w:r>
      <w:r>
        <w:t xml:space="preserve">: </w:t>
      </w:r>
      <w:r w:rsidRPr="00F605DD">
        <w:t>A system that gives instant regulatory guidance while you are designing or operating</w:t>
      </w:r>
      <w:r>
        <w:t>.</w:t>
      </w:r>
    </w:p>
    <w:tbl>
      <w:tblPr>
        <w:tblW w:w="0" w:type="auto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8"/>
        <w:gridCol w:w="2474"/>
      </w:tblGrid>
      <w:tr w14:paraId="2A19964C" w14:textId="77777777" w:rsidTr="00F605DD">
        <w:tblPrEx>
          <w:tblW w:w="0" w:type="auto"/>
          <w:tblInd w:w="567" w:type="dxa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F605DD" w:rsidRPr="00F605DD" w:rsidP="00F605DD" w14:paraId="28F49BF2" w14:textId="77777777">
            <w:pPr>
              <w:spacing w:after="0"/>
              <w:ind w:left="57"/>
              <w:rPr>
                <w:b/>
                <w:bCs/>
              </w:rPr>
            </w:pPr>
            <w:r w:rsidRPr="00F605D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605DD" w:rsidRPr="00F605DD" w:rsidP="00F605DD" w14:paraId="4B0F6EC7" w14:textId="77777777">
            <w:pPr>
              <w:spacing w:after="0"/>
              <w:ind w:left="57"/>
              <w:rPr>
                <w:b/>
                <w:bCs/>
              </w:rPr>
            </w:pPr>
            <w:r w:rsidRPr="00F605DD">
              <w:rPr>
                <w:b/>
                <w:bCs/>
              </w:rPr>
              <w:t>When</w:t>
            </w:r>
          </w:p>
        </w:tc>
      </w:tr>
      <w:tr w14:paraId="6044763A" w14:textId="77777777" w:rsidTr="00F605DD">
        <w:tblPrEx>
          <w:tblW w:w="0" w:type="auto"/>
          <w:tblInd w:w="567" w:type="dxa"/>
          <w:tblLook w:val="04A0"/>
        </w:tblPrEx>
        <w:tc>
          <w:tcPr>
            <w:tcW w:w="0" w:type="auto"/>
            <w:vAlign w:val="center"/>
            <w:hideMark/>
          </w:tcPr>
          <w:p w:rsidR="00F605DD" w:rsidRPr="00F605DD" w:rsidP="00F605DD" w14:paraId="32A79875" w14:textId="77777777">
            <w:pPr>
              <w:spacing w:after="0"/>
              <w:ind w:left="57"/>
            </w:pPr>
            <w:r w:rsidRPr="00F605DD">
              <w:t>Auditor</w:t>
            </w:r>
          </w:p>
        </w:tc>
        <w:tc>
          <w:tcPr>
            <w:tcW w:w="0" w:type="auto"/>
            <w:vAlign w:val="center"/>
            <w:hideMark/>
          </w:tcPr>
          <w:p w:rsidR="00F605DD" w:rsidRPr="00F605DD" w:rsidP="00F605DD" w14:paraId="629098D8" w14:textId="77777777">
            <w:pPr>
              <w:spacing w:after="0"/>
              <w:ind w:left="57"/>
            </w:pPr>
            <w:r w:rsidRPr="00F605DD">
              <w:t>After work is done</w:t>
            </w:r>
          </w:p>
        </w:tc>
      </w:tr>
      <w:tr w14:paraId="78EAE529" w14:textId="77777777" w:rsidTr="00F605DD">
        <w:tblPrEx>
          <w:tblW w:w="0" w:type="auto"/>
          <w:tblInd w:w="567" w:type="dxa"/>
          <w:tblLook w:val="04A0"/>
        </w:tblPrEx>
        <w:tc>
          <w:tcPr>
            <w:tcW w:w="0" w:type="auto"/>
            <w:vAlign w:val="center"/>
            <w:hideMark/>
          </w:tcPr>
          <w:p w:rsidR="00F605DD" w:rsidRPr="00F605DD" w:rsidP="00F605DD" w14:paraId="3D786E28" w14:textId="77777777">
            <w:pPr>
              <w:spacing w:after="0"/>
              <w:ind w:left="57"/>
            </w:pPr>
            <w:r w:rsidRPr="00F605DD">
              <w:t>Advisor</w:t>
            </w:r>
          </w:p>
        </w:tc>
        <w:tc>
          <w:tcPr>
            <w:tcW w:w="0" w:type="auto"/>
            <w:vAlign w:val="center"/>
            <w:hideMark/>
          </w:tcPr>
          <w:p w:rsidR="00F605DD" w:rsidRPr="00F605DD" w:rsidP="00F605DD" w14:paraId="5026BB43" w14:textId="77777777">
            <w:pPr>
              <w:spacing w:after="0"/>
              <w:ind w:left="57"/>
            </w:pPr>
            <w:r w:rsidRPr="00F605DD">
              <w:t>While work is being done</w:t>
            </w:r>
          </w:p>
        </w:tc>
      </w:tr>
    </w:tbl>
    <w:p w:rsidR="00296C14" w:rsidRPr="00296C14" w:rsidP="00F605DD" w14:paraId="45DCC96C" w14:textId="66663E58"/>
    <w:p w:rsidR="00296C14" w:rsidRPr="00296C14" w:rsidP="00296C14" w14:paraId="3F362814" w14:textId="7FF4EC6F">
      <w:pPr>
        <w:numPr>
          <w:ilvl w:val="0"/>
          <w:numId w:val="1"/>
        </w:numPr>
      </w:pPr>
      <w:r w:rsidRPr="00296C14">
        <w:rPr>
          <w:b/>
          <w:bCs/>
        </w:rPr>
        <w:t>Addition of acronyms and definitions section</w:t>
      </w:r>
      <w:r w:rsidRPr="00296C14">
        <w:br/>
        <w:t xml:space="preserve">Given the multidisciplinary nature of the paper, a dedicated section listing: </w:t>
      </w:r>
    </w:p>
    <w:p w:rsidR="00296C14" w:rsidRPr="00296C14" w:rsidP="00296C14" w14:paraId="1BAC59C4" w14:textId="77777777">
      <w:pPr>
        <w:numPr>
          <w:ilvl w:val="1"/>
          <w:numId w:val="1"/>
        </w:numPr>
      </w:pPr>
      <w:r w:rsidRPr="00296C14">
        <w:t xml:space="preserve">Acronyms (e.g., RAG, PSM, RBI, FFS, KOSHA, EPC) </w:t>
      </w:r>
    </w:p>
    <w:p w:rsidR="00296C14" w:rsidRPr="00296C14" w:rsidP="00296C14" w14:paraId="3DFC6728" w14:textId="77777777">
      <w:pPr>
        <w:numPr>
          <w:ilvl w:val="1"/>
          <w:numId w:val="1"/>
        </w:numPr>
      </w:pPr>
      <w:r w:rsidRPr="00296C14">
        <w:t>Key definitions (e.g., jurisdiction compliance gap, K-voting, coupling validation)</w:t>
      </w:r>
      <w:r w:rsidRPr="00296C14">
        <w:br/>
        <w:t>would greatly improve readability and accessibility.</w:t>
      </w:r>
    </w:p>
    <w:p w:rsidR="002045EB" w14:paraId="0DCDC7A4" w14:textId="77777777"/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773651A"/>
    <w:multiLevelType w:val="multilevel"/>
    <w:tmpl w:val="A91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0DB7"/>
    <w:multiLevelType w:val="multilevel"/>
    <w:tmpl w:val="26E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B0E9A"/>
    <w:multiLevelType w:val="multilevel"/>
    <w:tmpl w:val="CF9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67AA4"/>
    <w:multiLevelType w:val="multilevel"/>
    <w:tmpl w:val="32AC7A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B2C51"/>
    <w:multiLevelType w:val="multilevel"/>
    <w:tmpl w:val="9D36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358885">
    <w:abstractNumId w:val="4"/>
  </w:num>
  <w:num w:numId="2" w16cid:durableId="2096239733">
    <w:abstractNumId w:val="2"/>
  </w:num>
  <w:num w:numId="3" w16cid:durableId="744837249">
    <w:abstractNumId w:val="3"/>
  </w:num>
  <w:num w:numId="4" w16cid:durableId="806124529">
    <w:abstractNumId w:val="0"/>
  </w:num>
  <w:num w:numId="5" w16cid:durableId="1457798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14"/>
    <w:rsid w:val="002045EB"/>
    <w:rsid w:val="00274117"/>
    <w:rsid w:val="00296C14"/>
    <w:rsid w:val="007811E3"/>
    <w:rsid w:val="008E2F66"/>
    <w:rsid w:val="00A208BA"/>
    <w:rsid w:val="00A75BB3"/>
    <w:rsid w:val="00AD0DBE"/>
    <w:rsid w:val="00D55DE3"/>
    <w:rsid w:val="00E00F78"/>
    <w:rsid w:val="00ED053B"/>
    <w:rsid w:val="00F605DD"/>
  </w:rsids>
  <m:mathPr>
    <m:mathFont m:val="Cambria Math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4995D65"/>
  <w15:chartTrackingRefBased/>
  <w15:docId w15:val="{B9499064-5A43-41A4-928B-4D78D5A1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Titre1Car"/>
    <w:uiPriority w:val="9"/>
    <w:qFormat/>
    <w:rsid w:val="0029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29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296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29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296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29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29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29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29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re1Car">
    <w:name w:val="Titre 1 Car"/>
    <w:basedOn w:val="DefaultParagraphFont"/>
    <w:link w:val="Heading1"/>
    <w:uiPriority w:val="9"/>
    <w:rsid w:val="00296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link w:val="Heading2"/>
    <w:uiPriority w:val="9"/>
    <w:semiHidden/>
    <w:rsid w:val="00296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link w:val="Heading3"/>
    <w:uiPriority w:val="9"/>
    <w:semiHidden/>
    <w:rsid w:val="00296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link w:val="Heading4"/>
    <w:uiPriority w:val="9"/>
    <w:semiHidden/>
    <w:rsid w:val="00296C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link w:val="Heading5"/>
    <w:uiPriority w:val="9"/>
    <w:semiHidden/>
    <w:rsid w:val="00296C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link w:val="Heading6"/>
    <w:uiPriority w:val="9"/>
    <w:semiHidden/>
    <w:rsid w:val="00296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DefaultParagraphFont"/>
    <w:link w:val="Heading7"/>
    <w:uiPriority w:val="9"/>
    <w:semiHidden/>
    <w:rsid w:val="00296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DefaultParagraphFont"/>
    <w:link w:val="Heading8"/>
    <w:uiPriority w:val="9"/>
    <w:semiHidden/>
    <w:rsid w:val="00296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DefaultParagraphFont"/>
    <w:link w:val="Heading9"/>
    <w:uiPriority w:val="9"/>
    <w:semiHidden/>
    <w:rsid w:val="00296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reCar"/>
    <w:uiPriority w:val="10"/>
    <w:qFormat/>
    <w:rsid w:val="0029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DefaultParagraphFont"/>
    <w:link w:val="Title"/>
    <w:uiPriority w:val="10"/>
    <w:rsid w:val="0029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29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DefaultParagraphFont"/>
    <w:link w:val="Subtitle"/>
    <w:uiPriority w:val="11"/>
    <w:rsid w:val="0029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29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DefaultParagraphFont"/>
    <w:link w:val="Quote"/>
    <w:uiPriority w:val="29"/>
    <w:rsid w:val="00296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296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DefaultParagraphFont"/>
    <w:link w:val="IntenseQuote"/>
    <w:uiPriority w:val="30"/>
    <w:rsid w:val="00296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C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5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1b1c5d-19c0-4f6c-af94-9cbed1b927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6EC69A2CD41D4BB7027E76CE4E2DED" ma:contentTypeVersion="19" ma:contentTypeDescription="Create a new document." ma:contentTypeScope="" ma:versionID="4089ab162a64a96ac619b91d5120f27a">
  <xsd:schema xmlns:xsd="http://www.w3.org/2001/XMLSchema" xmlns:xs="http://www.w3.org/2001/XMLSchema" xmlns:p="http://schemas.microsoft.com/office/2006/metadata/properties" xmlns:ns3="85469b20-b8a4-46a1-a76b-d99e31ee7de7" xmlns:ns4="601b1c5d-19c0-4f6c-af94-9cbed1b92711" targetNamespace="http://schemas.microsoft.com/office/2006/metadata/properties" ma:root="true" ma:fieldsID="0bf0d1ada99c30befb184eea6b4947e4" ns3:_="" ns4:_="">
    <xsd:import namespace="85469b20-b8a4-46a1-a76b-d99e31ee7de7"/>
    <xsd:import namespace="601b1c5d-19c0-4f6c-af94-9cbed1b9271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BillingMetadata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69b20-b8a4-46a1-a76b-d99e31ee7d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b1c5d-19c0-4f6c-af94-9cbed1b92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1CC9DB-0252-40A3-AA6D-08201AEF4F3E}">
  <ds:schemaRefs>
    <ds:schemaRef ds:uri="http://schemas.microsoft.com/office/2006/metadata/properties"/>
    <ds:schemaRef ds:uri="http://schemas.microsoft.com/office/infopath/2007/PartnerControls"/>
    <ds:schemaRef ds:uri="601b1c5d-19c0-4f6c-af94-9cbed1b92711"/>
  </ds:schemaRefs>
</ds:datastoreItem>
</file>

<file path=customXml/itemProps2.xml><?xml version="1.0" encoding="utf-8"?>
<ds:datastoreItem xmlns:ds="http://schemas.openxmlformats.org/officeDocument/2006/customXml" ds:itemID="{7AFD9353-CE69-405D-88C6-19EBD2DAB4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10B327-1A6E-4989-A7F4-D4C4594CD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69b20-b8a4-46a1-a76b-d99e31ee7de7"/>
    <ds:schemaRef ds:uri="601b1c5d-19c0-4f6c-af94-9cbed1b927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