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viewer-response-qa"/>
    <w:p>
      <w:pPr>
        <w:pStyle w:val="Heading1"/>
      </w:pPr>
      <w:r>
        <w:t xml:space="preserve">Reviewer Response Q&amp;A</w:t>
      </w:r>
    </w:p>
    <w:p>
      <w:pPr>
        <w:pStyle w:val="FirstParagraph"/>
      </w:pPr>
      <w:r>
        <w:t xml:space="preserve">Updated: 2026-03-16</w:t>
      </w:r>
    </w:p>
    <w:p>
      <w:pPr>
        <w:pStyle w:val="BodyText"/>
      </w:pPr>
      <w:r>
        <w:t xml:space="preserve">This note is intended for submission-time reviewer response preparation.</w:t>
      </w:r>
    </w:p>
    <w:bookmarkStart w:id="9" w:name="X7550309be424af2f55a23b66f938e50ac27e685"/>
    <w:p>
      <w:pPr>
        <w:pStyle w:val="Heading2"/>
      </w:pPr>
      <w:r>
        <w:t xml:space="preserve">1) Is synonym expansion actually applied during retrieval?</w:t>
      </w:r>
    </w:p>
    <w:p>
      <w:pPr>
        <w:pStyle w:val="FirstParagraph"/>
      </w:pPr>
      <w:r>
        <w:t xml:space="preserve">Yes. The live retrieval path in</w:t>
      </w:r>
      <w:r>
        <w:t xml:space="preserve"> </w:t>
      </w:r>
      <w:r>
        <w:rPr>
          <w:rStyle w:val="VerbatimChar"/>
        </w:rPr>
        <w:t xml:space="preserve">src/rag/local_kosha_rag.py</w:t>
      </w:r>
      <w:r>
        <w:t xml:space="preserve"> </w:t>
      </w:r>
      <w:r>
        <w:t xml:space="preserve">calls the concept-aware query builder in</w:t>
      </w:r>
      <w:r>
        <w:t xml:space="preserve"> </w:t>
      </w:r>
      <w:r>
        <w:rPr>
          <w:rStyle w:val="VerbatimChar"/>
        </w:rPr>
        <w:t xml:space="preserve">src/rag/engineering_synonyms.py</w:t>
      </w:r>
      <w:r>
        <w:t xml:space="preserve">, which joins concepts with AND and synonyms within each concept with OR.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src/rag/local_kosha_rag.py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src/rag/engineering_synonyms.py</w:t>
      </w:r>
    </w:p>
    <w:bookmarkEnd w:id="9"/>
    <w:bookmarkStart w:id="10" w:name="Xb31a60ad8ba4f2d2247c50e0fa5c51697a05ef5"/>
    <w:p>
      <w:pPr>
        <w:pStyle w:val="Heading2"/>
      </w:pPr>
      <w:r>
        <w:t xml:space="preserve">2) Isn’t BM25 weak for Korean regulatory retrieval?</w:t>
      </w:r>
    </w:p>
    <w:p>
      <w:pPr>
        <w:pStyle w:val="FirstParagraph"/>
      </w:pPr>
      <w:r>
        <w:t xml:space="preserve">The limitation is acknowledged. The current system mitigates this with concept-aware query construction, bilingual synonym expansion, and a loose fallback query when strict concept matching returns no hits. Retrieval quality is quantified separately from generation quality.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outputs/rag_retrieval_report.md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scripts/benchmark_rag_retrieval.py</w:t>
      </w:r>
    </w:p>
    <w:bookmarkEnd w:id="10"/>
    <w:bookmarkStart w:id="11" w:name="isnt-the-50-query-benchmark-curated"/>
    <w:p>
      <w:pPr>
        <w:pStyle w:val="Heading2"/>
      </w:pPr>
      <w:r>
        <w:t xml:space="preserve">3) Isn’t the 50-query benchmark curated?</w:t>
      </w:r>
    </w:p>
    <w:p>
      <w:pPr>
        <w:pStyle w:val="FirstParagraph"/>
      </w:pPr>
      <w:r>
        <w:t xml:space="preserve">Yes. It is a curated benchmark designed to test the manuscript’s explicit regulatory claims. The curation policy is transparent: five target groups, ten query variants each, mixing Korean, English, abbreviations, and wording variants.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datasets/kosha_rag/rag_eval_queries.json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docs/publication/PAPER_EN_v2.md</w:t>
      </w:r>
    </w:p>
    <w:bookmarkEnd w:id="11"/>
    <w:bookmarkStart w:id="12" w:name="Xb1ddfd0ec2a5367e32bbb26ae10b793a8e7dbf2"/>
    <w:p>
      <w:pPr>
        <w:pStyle w:val="Heading2"/>
      </w:pPr>
      <w:r>
        <w:t xml:space="preserve">4) Is the “jurisdiction compliance gap” only a narrative claim?</w:t>
      </w:r>
    </w:p>
    <w:p>
      <w:pPr>
        <w:pStyle w:val="FirstParagraph"/>
      </w:pPr>
      <w:r>
        <w:t xml:space="preserve">No. The manuscript operationalizes the gap through case ablation: code-only outputs do not surface Korean regulatory obligations, while regulatory RAG does. The effect is shown at both benchmark level and manuscript case level.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outputs/rag_retrieval_report.md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docs/publication/PAPER_EN_v2.md</w:t>
      </w:r>
    </w:p>
    <w:bookmarkEnd w:id="12"/>
    <w:bookmarkStart w:id="13" w:name="X3a57ba6da09b9b35a62085d10a507615105b4bb"/>
    <w:p>
      <w:pPr>
        <w:pStyle w:val="Heading2"/>
      </w:pPr>
      <w:r>
        <w:t xml:space="preserve">5) Does the cross-discipline validator add measurable value?</w:t>
      </w:r>
    </w:p>
    <w:p>
      <w:pPr>
        <w:pStyle w:val="FirstParagraph"/>
      </w:pPr>
      <w:r>
        <w:t xml:space="preserve">Yes. In the 60-scenario ablation, validator OFF blocks 0 scenarios and validator ON blocks 25. The aligned boundary and aligned failure subsets both rise from 0.0 to 1.0 blocking ratio.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outputs/cross_discipline_ablation_report.md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scripts/benchmark_cross_discipline_ablation.py</w:t>
      </w:r>
    </w:p>
    <w:bookmarkEnd w:id="13"/>
    <w:bookmarkStart w:id="14" w:name="X7d02d7265952dc450db6348c9aed04609471336"/>
    <w:p>
      <w:pPr>
        <w:pStyle w:val="Heading2"/>
      </w:pPr>
      <w:r>
        <w:t xml:space="preserve">6) Are legal links stable enough for reviewer inspection?</w:t>
      </w:r>
    </w:p>
    <w:p>
      <w:pPr>
        <w:pStyle w:val="FirstParagraph"/>
      </w:pPr>
      <w:r>
        <w:t xml:space="preserve">For major law/rule categories, law-article metadata is normalized and direct article URLs are resolved to</w:t>
      </w:r>
      <w:r>
        <w:t xml:space="preserve"> </w:t>
      </w:r>
      <w:r>
        <w:rPr>
          <w:rStyle w:val="VerbatimChar"/>
        </w:rPr>
        <w:t xml:space="preserve">lsScJoRltInfoR.do</w:t>
      </w:r>
      <w:r>
        <w:t xml:space="preserve"> </w:t>
      </w:r>
      <w:r>
        <w:t xml:space="preserve">where available. The runtime follows</w:t>
      </w:r>
      <w:r>
        <w:t xml:space="preserve"> </w:t>
      </w:r>
      <w:r>
        <w:rPr>
          <w:rStyle w:val="VerbatimChar"/>
        </w:rPr>
        <w:t xml:space="preserve">resolved_url &gt; direct_url &gt; search_url</w:t>
      </w:r>
      <w:r>
        <w:t xml:space="preserve">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src/rag/law_article_metadata.py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scripts/resolve_law_article_direct_urls.py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config/law_article_link_overrides.json</w:t>
      </w:r>
    </w:p>
    <w:bookmarkEnd w:id="14"/>
    <w:bookmarkStart w:id="15" w:name="X65e2c8d2a16e2bee8520ba4c6fa64fdf92ad3b2"/>
    <w:p>
      <w:pPr>
        <w:pStyle w:val="Heading2"/>
      </w:pPr>
      <w:r>
        <w:t xml:space="preserve">7) Why is the SQLite index not included in the submission package?</w:t>
      </w:r>
    </w:p>
    <w:p>
      <w:pPr>
        <w:pStyle w:val="FirstParagraph"/>
      </w:pPr>
      <w:r>
        <w:t xml:space="preserve">The submission package excludes the prebuilt SQLite index intentionally to keep the archive compact and source-oriented. Reproducibility is preserved via normalized datasets plus rebuild scripts.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README_SUBMISSION_PACKAGE.md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docs/publication/SUBMISSION_CHECKLIST.md</w:t>
      </w:r>
    </w:p>
    <w:bookmarkEnd w:id="15"/>
    <w:bookmarkStart w:id="16" w:name="X1db77505b7d5e220c4fdb397691ba4d7399b6e4"/>
    <w:p>
      <w:pPr>
        <w:pStyle w:val="Heading2"/>
      </w:pPr>
      <w:r>
        <w:t xml:space="preserve">8) How is redistribution risk handled for regulatory content?</w:t>
      </w:r>
    </w:p>
    <w:p>
      <w:pPr>
        <w:pStyle w:val="FirstParagraph"/>
      </w:pPr>
      <w:r>
        <w:t xml:space="preserve">The package is curated to emphasize source code, normalized metadata, and manuscript-facing evidence rather than raw portal dumps or unnecessary binaries. The included datasets are the minimum needed to reconstruct the retrieval environment described in the manuscript.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README_SUBMISSION_PACKAGE.md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docs/publication/PAPER_EN_v2.md</w:t>
      </w:r>
    </w:p>
    <w:bookmarkEnd w:id="16"/>
    <w:bookmarkStart w:id="17" w:name="X8d28a215c2599268138239483c69fa0f0935172"/>
    <w:p>
      <w:pPr>
        <w:pStyle w:val="Heading2"/>
      </w:pPr>
      <w:r>
        <w:t xml:space="preserve">9) How is hallucination risk controlled in the RAG layer?</w:t>
      </w:r>
    </w:p>
    <w:p>
      <w:pPr>
        <w:pStyle w:val="FirstParagraph"/>
      </w:pPr>
      <w:r>
        <w:t xml:space="preserve">The generation stage is grounded on retrieved context only and requires citation indices in the answer format. Retrieval is benchmarked separately so evidence quality can be evaluated independently of generation.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src/rag/local_kosha_rag.py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outputs/rag_retrieval_report.md</w:t>
      </w:r>
    </w:p>
    <w:bookmarkEnd w:id="17"/>
    <w:bookmarkStart w:id="18" w:name="X1eaf4c7a4e406755edb6f142dad6f589de01c0e"/>
    <w:p>
      <w:pPr>
        <w:pStyle w:val="Heading2"/>
      </w:pPr>
      <w:r>
        <w:t xml:space="preserve">10) Can reviewers reproduce the package in a clean environment?</w:t>
      </w:r>
    </w:p>
    <w:p>
      <w:pPr>
        <w:pStyle w:val="FirstParagraph"/>
      </w:pPr>
      <w:r>
        <w:t xml:space="preserve">The package includes a copy-paste rebuild block, a verified environment note, the normalized datasets needed for reconstruction, and the benchmark scripts used in the paper. Final release/tag confirmation remains a manual submission-time step.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docs/publication/SUBMISSION_CHECKLIST.md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README_SUBMISSION_PACKAGE.md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2026-03-31T16:54:00Z</dcterms:created>
  <dcterms:modified xsi:type="dcterms:W3CDTF">2026-03-31T16:54:00Z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