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617b0515b995556ed24bba3b3270c2554aeeb59"/>
    <w:p>
      <w:pPr>
        <w:pStyle w:val="Heading1"/>
      </w:pPr>
      <w:r>
        <w:t xml:space="preserve">Cover Letter — Resubmission to Journal of Loss Prevention in the Process Industries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2026-05-08</w:t>
      </w:r>
    </w:p>
    <w:p>
      <w:pPr>
        <w:pStyle w:val="BodyText"/>
      </w:pPr>
      <w:r>
        <w:rPr>
          <w:b/>
          <w:bCs/>
        </w:rPr>
        <w:t xml:space="preserve">Manuscript number:</w:t>
      </w:r>
      <w:r>
        <w:t xml:space="preserve"> </w:t>
      </w:r>
      <w:r>
        <w:t xml:space="preserve">JLP-D-26-00414 (revised)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Professor Paul Amyotte</w:t>
      </w:r>
      <w:r>
        <w:t xml:space="preserve"> </w:t>
      </w:r>
      <w:r>
        <w:t xml:space="preserve">Receiving Editor</w:t>
      </w:r>
      <w:r>
        <w:t xml:space="preserve"> </w:t>
      </w:r>
      <w:r>
        <w:rPr>
          <w:i/>
          <w:iCs/>
        </w:rPr>
        <w:t xml:space="preserve">Journal of Loss Prevention in the Process Industries</w:t>
      </w:r>
      <w:r>
        <w:t xml:space="preserve"> </w:t>
      </w:r>
      <w:r>
        <w:t xml:space="preserve">Elsevier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Resubmission of revised manuscript</w:t>
      </w:r>
      <w:r>
        <w:t xml:space="preserve"> </w:t>
      </w:r>
      <w:r>
        <w:t xml:space="preserve">“Detecting Jurisdiction Compliance Gaps in Process Plant Engineering with Regulatory RAG”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Professor Amyotte,</w:t>
      </w:r>
    </w:p>
    <w:p>
      <w:pPr>
        <w:pStyle w:val="BodyText"/>
      </w:pPr>
      <w:r>
        <w:t xml:space="preserve">Thank you for the opportunity to revise our manuscript JLP-D-26-00414, and please convey our gratitude to the three reviewers, whose detailed comments substantially strengthened the work. We are pleased to resubmit the revised manuscript together with a point-by-point Response to Reviewers letter.</w:t>
      </w:r>
    </w:p>
    <w:p>
      <w:pPr>
        <w:pStyle w:val="BodyText"/>
      </w:pPr>
      <w:r>
        <w:rPr>
          <w:b/>
          <w:bCs/>
        </w:rPr>
        <w:t xml:space="preserve">Summary of key revisions.</w:t>
      </w:r>
      <w:r>
        <w:t xml:space="preserve"> </w:t>
      </w:r>
      <w:r>
        <w:t xml:space="preserve">All three reviewers’ concerns have been addressed at both the structure and evidence level: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Reviewer 1 — comparison and supporting data.</w:t>
      </w:r>
      <w:r>
        <w:t xml:space="preserve"> </w:t>
      </w:r>
      <w:r>
        <w:t xml:space="preserve">The revised §6.6 introduces a two-layer comparison framework: (i) an</w:t>
      </w:r>
      <w:r>
        <w:t xml:space="preserve"> </w:t>
      </w:r>
      <w:r>
        <w:rPr>
          <w:i/>
          <w:iCs/>
        </w:rPr>
        <w:t xml:space="preserve">industry-baseline</w:t>
      </w:r>
      <w:r>
        <w:t xml:space="preserve"> </w:t>
      </w:r>
      <w:r>
        <w:t xml:space="preserve">comparison — defining</w:t>
      </w:r>
      <w:r>
        <w:t xml:space="preserve"> </w:t>
      </w:r>
      <w:r>
        <w:t xml:space="preserve">“ASME/API pass = compliance complete”</w:t>
      </w:r>
      <w:r>
        <w:t xml:space="preserve"> </w:t>
      </w:r>
      <w:r>
        <w:t xml:space="preserve">as the prevailing current practice, against which the three case studies yield 0/3 detections versus our system’s 3/3 — and (ii) an</w:t>
      </w:r>
      <w:r>
        <w:t xml:space="preserve"> </w:t>
      </w:r>
      <w:r>
        <w:rPr>
          <w:i/>
          <w:iCs/>
        </w:rPr>
        <w:t xml:space="preserve">internal four-layer ablation</w:t>
      </w:r>
      <w:r>
        <w:t xml:space="preserve"> </w:t>
      </w:r>
      <w:r>
        <w:t xml:space="preserve">(Table 7b) decomposing detection contributions by Calc / Cross-discipline / KOSHA RAG / Full system. The 25/60 → 26/60 cross-discipline ablation (+0.4333 absolute) is now accompanied by a per-failure-mode partition (piping-vessel 22, electrical-rotating 3, civil-rotating 1; sum = 26) and five new figures (system architecture, RAG workflow, cross-discipline coupling, ablation, retrieval). The synthetic-data concern is addressed by reframing the result as</w:t>
      </w:r>
      <w:r>
        <w:t xml:space="preserve"> </w:t>
      </w:r>
      <w:r>
        <w:rPr>
          <w:b/>
          <w:bCs/>
        </w:rPr>
        <w:t xml:space="preserve">implementation verification, not predictive validation</w:t>
      </w:r>
      <w:r>
        <w:t xml:space="preserve">, with a three-component defence (regulatory inversion, medical-AI / AV simulation precedent, feasibility framing) and a tested negative case (PIP-GOLD-003) confirming no false-positive flag.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Reviewer 2 — KOSHA basis, reproducibility, and method positioning.</w:t>
      </w:r>
      <w:r>
        <w:t xml:space="preserve"> </w:t>
      </w:r>
      <w:r>
        <w:t xml:space="preserve">A new §4.3 distinguishes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(Act / Enforcement Decree /</w:t>
      </w:r>
      <w:r>
        <w:t xml:space="preserve"> </w:t>
      </w:r>
      <w:r>
        <w:rPr>
          <w:i/>
          <w:iCs/>
        </w:rPr>
        <w:t xml:space="preserve">Rules on Occupational Safety and Health Standards</w:t>
      </w:r>
      <w:r>
        <w:t xml:space="preserve">) from</w:t>
      </w:r>
      <w:r>
        <w:t xml:space="preserve"> </w:t>
      </w:r>
      <w:r>
        <w:rPr>
          <w:b/>
          <w:bCs/>
        </w:rPr>
        <w:t xml:space="preserve">guidance</w:t>
      </w:r>
      <w:r>
        <w:t xml:space="preserve"> </w:t>
      </w:r>
      <w:r>
        <w:t xml:space="preserve">(KOSHA technical guidelines), with Article 256 quoted verbatim in §6.4 (Korean + English working translation). Reproducibility is strengthened with explicit file-path references for the seven engines, the four-layer verification, and the RAG prompting strategy. A new §7.2 positions the framework as a</w:t>
      </w:r>
      <w:r>
        <w:t xml:space="preserve"> </w:t>
      </w:r>
      <w:r>
        <w:rPr>
          <w:b/>
          <w:bCs/>
        </w:rPr>
        <w:t xml:space="preserve">compliance co-pilot</w:t>
      </w:r>
      <w:r>
        <w:t xml:space="preserve"> </w:t>
      </w:r>
      <w:r>
        <w:t xml:space="preserve">(not a replacement) for HAZOP / RBI / Digital Twin via Tables 8 and 9 and four operational touchpoints. A new §7.4 clarifies the FFS / EPC-standards relationship (API 579 treated as both design-validation and operational-assessment input). Acronyms and key definitions are consolidated in a dedicated section.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Reviewer 3 — K-voting rationale and JLP format.</w:t>
      </w:r>
      <w:r>
        <w:t xml:space="preserve"> </w:t>
      </w:r>
      <w:r>
        <w:t xml:space="preserve">A new §5.4 justifies the K-voting design choices (3 paths, 1% tolerance, scope of independence) explicitly tied to the implementation in</w:t>
      </w:r>
      <w:r>
        <w:t xml:space="preserve"> </w:t>
      </w:r>
      <w:r>
        <w:rPr>
          <w:rStyle w:val="VerbatimChar"/>
        </w:rPr>
        <w:t xml:space="preserve">src/verification/maker.py</w:t>
      </w:r>
      <w:r>
        <w:t xml:space="preserve">. The manuscript has been reformatted to the standard JLP order (introduction → related work → method → experiments → discussion → limitations → conclusion → acknowledgements → data availability → references).</w:t>
      </w:r>
    </w:p>
    <w:p>
      <w:pPr>
        <w:pStyle w:val="FirstParagraph"/>
      </w:pPr>
      <w:r>
        <w:rPr>
          <w:b/>
          <w:bCs/>
        </w:rPr>
        <w:t xml:space="preserve">Statistical rigour.</w:t>
      </w:r>
      <w:r>
        <w:t xml:space="preserve"> </w:t>
      </w:r>
      <w:r>
        <w:t xml:space="preserve">Per Reviewer 2’s request, a 95% paired-bootstrap analysis of the 50-query retrieval benchmark (n = 50, 1000 resamples, seed = 20260508) is now reported in Table 6: Recall@1 [+0.14, +0.48] and MRR@10 [+0.09, +0.35] both exclude zero, while Recall@3 and Recall@5 paired CIs of [−0.02, +0.26] do include zero. The headline retrieval claim has been honestly narrowed to Recall@1 and MRR@10; Recall@3 and Recall@5 are reported for completeness rather than as primary evidence.</w:t>
      </w:r>
    </w:p>
    <w:p>
      <w:pPr>
        <w:pStyle w:val="BodyText"/>
      </w:pPr>
      <w:r>
        <w:rPr>
          <w:b/>
          <w:bCs/>
        </w:rPr>
        <w:t xml:space="preserve">Data integrity audit.</w:t>
      </w:r>
      <w:r>
        <w:t xml:space="preserve"> </w:t>
      </w:r>
      <w:r>
        <w:t xml:space="preserve">Every numerical claim in the revised manuscript was traced to a code path or data file in the public repository. The audit surfaced and corrected several issues: (a) the previously reported</w:t>
      </w:r>
      <w:r>
        <w:t xml:space="preserve"> </w:t>
      </w:r>
      <w:r>
        <w:t xml:space="preserve">“16,186”</w:t>
      </w:r>
      <w:r>
        <w:t xml:space="preserve"> </w:t>
      </w:r>
      <w:r>
        <w:t xml:space="preserve">was replaced with the actual SQLite count of</w:t>
      </w:r>
      <w:r>
        <w:t xml:space="preserve"> </w:t>
      </w:r>
      <w:r>
        <w:rPr>
          <w:b/>
          <w:bCs/>
        </w:rPr>
        <w:t xml:space="preserve">16,174</w:t>
      </w:r>
      <w:r>
        <w:t xml:space="preserve"> </w:t>
      </w:r>
      <w:r>
        <w:t xml:space="preserve">(= 13,084 guide chunks + 3,090 indexed law articles), with the 12 excluded law-article rows triaged into 4 repealed (</w:t>
      </w:r>
      <w:r>
        <w:rPr>
          <w:rStyle w:val="VerbatimChar"/>
        </w:rPr>
        <w:t xml:space="preserve">삭제</w:t>
      </w:r>
      <w:r>
        <w:t xml:space="preserve">) and 8 pending Playwright re-fetch; (b) the §5.2 Layer 4 description (2% warning / 5% escalation) now matches the implementation in</w:t>
      </w:r>
      <w:r>
        <w:t xml:space="preserve"> </w:t>
      </w:r>
      <w:r>
        <w:rPr>
          <w:rStyle w:val="VerbatimChar"/>
        </w:rPr>
        <w:t xml:space="preserve">src/verification/reverse_check.py</w:t>
      </w:r>
      <w:r>
        <w:t xml:space="preserve">. A full revision changelog is provided in the supplementary</w:t>
      </w:r>
      <w:r>
        <w:t xml:space="preserve"> </w:t>
      </w:r>
      <w:r>
        <w:rPr>
          <w:rStyle w:val="VerbatimChar"/>
        </w:rPr>
        <w:t xml:space="preserve">REVISION_CHANGELOG_JLP.md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All source code, golden datasets (220 synthetic cases across seven disciplines), the 60-scenario cross-discipline ablation set, the 50-query curated retrieval benchmark, the SQLite FTS5 index manifest, and the orchestration scripts are publicly released under the AGPL-3.0 license. Eight new analysis scripts were added during this revision (</w:t>
      </w:r>
      <w:r>
        <w:rPr>
          <w:rStyle w:val="VerbatimChar"/>
        </w:rPr>
        <w:t xml:space="preserve">scripts/dump_ablation_hits.py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run_layer_ablation.py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run_negative_case_rag.py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bootstrap_ci_rag.py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generate_paper_figures.py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reencode_kosha_corpus.py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reindex_kosha_sqlite.py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refetch_missing_law_articles.py</w:t>
      </w:r>
      <w:r>
        <w:t xml:space="preserve">) so that every table and figure in the manuscript is reproducible from the repository with a single command.</w:t>
      </w:r>
    </w:p>
    <w:p>
      <w:pPr>
        <w:pStyle w:val="BodyText"/>
      </w:pPr>
      <w:r>
        <w:rPr>
          <w:b/>
          <w:bCs/>
        </w:rPr>
        <w:t xml:space="preserve">Confirmations.</w:t>
      </w:r>
      <w:r>
        <w:t xml:space="preserve"> </w:t>
      </w:r>
      <w:r>
        <w:t xml:space="preserve">The manuscript remains exclusive to</w:t>
      </w:r>
      <w:r>
        <w:t xml:space="preserve"> </w:t>
      </w:r>
      <w:r>
        <w:rPr>
          <w:i/>
          <w:iCs/>
        </w:rPr>
        <w:t xml:space="preserve">Journal of Loss Prevention in the Process Industries</w:t>
      </w:r>
      <w:r>
        <w:t xml:space="preserve">; it has not been published or submitted elsewhere. There are no conflicts of interest to declare.</w:t>
      </w:r>
    </w:p>
    <w:p>
      <w:pPr>
        <w:pStyle w:val="BodyText"/>
      </w:pPr>
      <w:r>
        <w:t xml:space="preserve">We look forward to your decision and to any further comments from the reviewers.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Yuyong Kim</w:t>
      </w:r>
      <w:r>
        <w:t xml:space="preserve"> </w:t>
      </w:r>
      <w:r>
        <w:t xml:space="preserve">University of Wisconsin–Madison</w:t>
      </w:r>
      <w:r>
        <w:t xml:space="preserve"> </w:t>
      </w:r>
      <w:r>
        <w:t xml:space="preserve">M.S. Data, Insights &amp; Analytics Candidate; B.S. Chemical &amp; Biological Engineering</w:t>
      </w:r>
      <w:r>
        <w:t xml:space="preserve"> </w:t>
      </w:r>
      <w:r>
        <w:t xml:space="preserve">12+ years of professional experience in petrochemical EPC and process plant engineering</w:t>
      </w:r>
      <w:r>
        <w:t xml:space="preserve"> </w:t>
      </w:r>
      <w:hyperlink r:id="rId9">
        <w:r>
          <w:rPr>
            <w:rStyle w:val="Hyperlink"/>
          </w:rPr>
          <w:t xml:space="preserve">linkedin.com/in/yuyongkim</w:t>
        </w:r>
      </w:hyperlink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linkedin.com/in/yuyongki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linkedin.com/in/yuyongki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2026-05-08T14:54:23Z</dcterms:created>
  <dcterms:modified xsi:type="dcterms:W3CDTF">2026-05-08T14:54:23Z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