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r>
        <w:pict>
          <v:rect style="width:0;height:1.5pt" o:hralign="center" o:hrstd="t" o:hr="t"/>
        </w:pict>
      </w:r>
    </w:p>
    <w:bookmarkEnd w:id="37"/>
    <w:bookmarkEnd w:id="38"/>
    <w:bookmarkStart w:id="55" w:name="experiments-and-evaluation"/>
    <w:p>
      <w:pPr>
        <w:pStyle w:val="Heading2"/>
      </w:pPr>
      <w:r>
        <w:t xml:space="preserve">6. Experiments and Evaluation</w:t>
      </w:r>
    </w:p>
    <w:p>
      <w:pPr>
        <w:pStyle w:val="FirstParagraph"/>
      </w:pPr>
      <w:r>
        <w:t xml:space="preserve">The evaluation programme comprises six analyses, each tied to one or more reviewer comments: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w:t>
            </w:r>
          </w:p>
        </w:tc>
        <w:tc>
          <w:tcPr/>
          <w:p>
            <w:pPr>
              <w:pStyle w:val="Compact"/>
              <w:jc w:val="right"/>
            </w:pPr>
            <w:r>
              <w:t xml:space="preserve">Boundary</w:t>
            </w:r>
          </w:p>
        </w:tc>
        <w:tc>
          <w:tcPr/>
          <w:p>
            <w:pPr>
              <w:pStyle w:val="Compact"/>
              <w:jc w:val="right"/>
            </w:pPr>
            <w:r>
              <w:t xml:space="preserve">Failure</w:t>
            </w:r>
          </w:p>
        </w:tc>
        <w:tc>
          <w:tcPr/>
          <w:p>
            <w:pPr>
              <w:pStyle w:val="Compact"/>
              <w:jc w:val="right"/>
            </w:pPr>
            <w:r>
              <w:t xml:space="preserve">Composite</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Reviewer 1 raised the legitimate concern that a synthetic-data evaluation may be circular (</w:t>
      </w:r>
      <w:r>
        <w:t xml:space="preserve">“did you find what you knew the model would find?”</w:t>
      </w:r>
      <w:r>
        <w:t xml:space="preserve">). The defence has three components. First, the test cases are</w:t>
      </w:r>
      <w:r>
        <w:t xml:space="preserve"> </w:t>
      </w:r>
      <w:r>
        <w:rPr>
          <w:i/>
          <w:iCs/>
        </w:rPr>
        <w:t xml:space="preserve">inverted</w:t>
      </w:r>
      <w:r>
        <w:t xml:space="preserve"> </w:t>
      </w:r>
      <w:r>
        <w:t xml:space="preserve">from the regulatory and standards text: each KOSHA RAG target was selected by reading the actual KOSHA clause first and then synthesising a calculation context that should trigger it. The detection therefore grounds in real regulatory obligations, even though the calc inputs are constructed. Second, this construction pattern is established practice in safety-critical AI evaluation: medical-AI work routinely uses synthetic patient cohorts with known ground-truth labels, and autonomous-vehicle systems are validated on simulated scenarios long before public-road deployment. Third, the evaluation is positioned as a</w:t>
      </w:r>
      <w:r>
        <w:t xml:space="preserve"> </w:t>
      </w:r>
      <w:r>
        <w:rPr>
          <w:b/>
          <w:bCs/>
        </w:rPr>
        <w:t xml:space="preserve">feasibility study</w:t>
      </w:r>
      <w:r>
        <w:t xml:space="preserve">; the architecture being demonstrated is the integration of calc + cross-discipline + KOSHA RAG, not a claim that the present numbers transfer to plant data. Field validation is explicit future work.</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3" w:name="X945ebd9b2e343d6b9f880fd96f78b4c10113984"/>
    <w:p>
      <w:pPr>
        <w:pStyle w:val="Heading3"/>
      </w:pPr>
      <w:r>
        <w:t xml:space="preserve">6.6 Industry-Baseline Comparison and Internal Ablation</w:t>
      </w:r>
    </w:p>
    <w:p>
      <w:pPr>
        <w:pStyle w:val="FirstParagraph"/>
      </w:pPr>
      <w:r>
        <w:t xml:space="preserve">Reviewer 1 correctly observes that 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r>
        <w:pict>
          <v:rect style="width:0;height:1.5pt" o:hralign="center" o:hrstd="t" o:hr="t"/>
        </w:pict>
      </w:r>
    </w:p>
    <w:bookmarkEnd w:id="54"/>
    <w:bookmarkEnd w:id="55"/>
    <w:bookmarkStart w:id="62" w:name="discussion"/>
    <w:p>
      <w:pPr>
        <w:pStyle w:val="Heading2"/>
      </w:pPr>
      <w:r>
        <w:t xml:space="preserve">7. Discussion</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by any reviewer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results constitute implementation verification, not predictive validation.</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2"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70">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71">
        <w:r>
          <w:rPr>
            <w:rStyle w:val="Hyperlink"/>
          </w:rPr>
          <w:t xml:space="preserve">https://www.law.go.kr</w:t>
        </w:r>
      </w:hyperlink>
      <w:r>
        <w:t xml:space="preserve">.</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70" Target="https://www.kosha.or.kr" TargetMode="External" /><Relationship Type="http://schemas.openxmlformats.org/officeDocument/2006/relationships/hyperlink" Id="rId71"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70" Target="https://www.kosha.or.kr" TargetMode="External" /><Relationship Type="http://schemas.openxmlformats.org/officeDocument/2006/relationships/hyperlink" Id="rId71"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2026-05-08T15:07:59Z</dcterms:created>
  <dcterms:modified xsi:type="dcterms:W3CDTF">2026-05-08T15:07:59Z</dcterms:modified>
</cp:coreProperties>
</file>

<file path=docProps/custom.xml><?xml version="1.0" encoding="utf-8"?>
<Properties xmlns="http://schemas.openxmlformats.org/officeDocument/2006/custom-properties" xmlns:vt="http://schemas.openxmlformats.org/officeDocument/2006/docPropsVTypes"/>
</file>