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Korean+English of Article 256,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(Recall@K and MRR@10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A footnote in §6.7 of the revised manuscript will be added at camera-ready to make the (i)/(ii) distinction explicit in the manuscript itself.</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 We additionally commit to a prospective study in future work (§8)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Article 256 Korean+English,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the reviewer’s exact language:</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2026-05-08T14:51:26Z</dcterms:created>
  <dcterms:modified xsi:type="dcterms:W3CDTF">2026-05-08T14:51:26Z</dcterms:modified>
</cp:coreProperties>
</file>

<file path=docProps/custom.xml><?xml version="1.0" encoding="utf-8"?>
<Properties xmlns="http://schemas.openxmlformats.org/officeDocument/2006/custom-properties" xmlns:vt="http://schemas.openxmlformats.org/officeDocument/2006/docPropsVTypes"/>
</file>