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This is a substantially revised manuscript prepared directly in response to the reviewers’ concerns, while preserving the manuscript’s central research question and contribution (the</w:t>
      </w:r>
      <w:r>
        <w:t xml:space="preserve"> </w:t>
      </w:r>
      <w:r>
        <w:rPr>
          <w:i/>
          <w:iCs/>
        </w:rPr>
        <w:t xml:space="preserve">jurisdiction compliance gap</w:t>
      </w:r>
      <w:r>
        <w:t xml:space="preserve"> </w:t>
      </w:r>
      <w:r>
        <w:t xml:space="preserve">between international engineering codes and Korean PSM regulation, addressed via a multi-discipline AI verification platform with KOSHA-grounded RAG).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Article 266 (flare-path block-valve prohibition) emerges naturally from retrieval.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— word count grew from 4,928 to 12,932 (+162%); 22 new sections were added (incl. §6.6, §6.7, §7.2-7.4, §7.6, Appendix A, Appendix B); 36 existing sections were rewritten; 12 original sections were removed or folded — so a conventional word-level marked-up manuscript would be illegible. In its place we provide two complementary documents:</w:t>
      </w:r>
      <w:r>
        <w:t xml:space="preserve"> </w:t>
      </w:r>
      <w:r>
        <w:rPr>
          <w:b/>
          <w:bCs/>
        </w:rPr>
        <w:t xml:space="preserve">BEFORE_AFTER_COMPARISON.docx</w:t>
      </w:r>
      <w:r>
        <w:t xml:space="preserve"> </w:t>
      </w:r>
      <w:r>
        <w:t xml:space="preserve">(landscape, 70 changed rows showing the actual original-vs-revised text excerpts side by side, color-coded NEW / REVISED / DELETED) and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 </w:t>
      </w:r>
      <w:r>
        <w:t xml:space="preserve">(high-level mapping of each change to the triggering reviewer comment).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, and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2026-05-10T06:20:30Z</dcterms:created>
  <dcterms:modified xsi:type="dcterms:W3CDTF">2026-05-10T06:20:30Z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