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17b0515b995556ed24bba3b3270c2554aeeb59"/>
    <w:p>
      <w:pPr>
        <w:pStyle w:val="Heading1"/>
      </w:pPr>
      <w:r>
        <w:t xml:space="preserve">Cover Letter — Resubmission to Journal of Loss Prevention in the Process Industries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</w:t>
      </w:r>
      <w:r>
        <w:t xml:space="preserve"> </w:t>
      </w:r>
      <w:r>
        <w:t xml:space="preserve">Receiving Editor</w:t>
      </w:r>
      <w:r>
        <w:t xml:space="preserve"> </w:t>
      </w:r>
      <w:r>
        <w:rPr>
          <w:i/>
          <w:iCs/>
        </w:rPr>
        <w:t xml:space="preserve">Journal of Loss Prevention in the Process Industries</w:t>
      </w:r>
      <w:r>
        <w:t xml:space="preserve"> </w:t>
      </w:r>
      <w:r>
        <w:t xml:space="preserve">Elsevier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 revised manuscript</w:t>
      </w:r>
      <w:r>
        <w:t xml:space="preserve"> </w:t>
      </w:r>
      <w:r>
        <w:t xml:space="preserve">“Detecting Jurisdiction Compliance Gaps in Process Plant Engineering with Regulatory RAG”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JLP-D-26-00414; please convey our gratitude to the three anonymous reviewers, whose detailed comments substantially strengthened the work.</w:t>
      </w:r>
    </w:p>
    <w:p>
      <w:pPr>
        <w:pStyle w:val="Compact"/>
        <w:numPr>
          <w:ilvl w:val="0"/>
          <w:numId w:val="1001"/>
        </w:numPr>
      </w:pPr>
      <w:r>
        <w:t xml:space="preserve">Reviewer concerns on the absence of a comparison axis are addressed via an industry-baseline comparison and an internal four-layer ablation (§6.6, Tables 7 / 7b).</w:t>
      </w:r>
    </w:p>
    <w:p>
      <w:pPr>
        <w:pStyle w:val="Compact"/>
        <w:numPr>
          <w:ilvl w:val="0"/>
          <w:numId w:val="1001"/>
        </w:numPr>
      </w:pPr>
      <w:r>
        <w:t xml:space="preserve">Synthetic-only validation is reframed as implementation verification and supplemented by an anonymised real-plant pipeline-execution case (§6.1, Appendix A).</w:t>
      </w:r>
    </w:p>
    <w:p>
      <w:pPr>
        <w:pStyle w:val="Compact"/>
        <w:numPr>
          <w:ilvl w:val="0"/>
          <w:numId w:val="1001"/>
        </w:numPr>
      </w:pPr>
      <w:r>
        <w:t xml:space="preserve">Statistical claims are narrowed to those that survive a paired-bootstrap 95% CI (§6.5, Table 6); honest weakness disclosure is reported in §8.</w:t>
      </w:r>
    </w:p>
    <w:p>
      <w:pPr>
        <w:pStyle w:val="FirstParagraph"/>
      </w:pPr>
      <w:r>
        <w:t xml:space="preserve">The full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scripts pass) with all code, datasets, and the FTS5 index manifest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, has not been submitted elsewhere, 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2026-05-09T02:33:52Z</dcterms:created>
  <dcterms:modified xsi:type="dcterms:W3CDTF">2026-05-09T02:33:52Z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