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17b0515b995556ed24bba3b3270c2554aeeb59"/>
    <w:p>
      <w:pPr>
        <w:pStyle w:val="Heading1"/>
      </w:pPr>
      <w:r>
        <w:t xml:space="preserve">Cover Letter — Resubmission to Journal of Loss Prevention in the Process Industries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2026-05-08</w:t>
      </w:r>
    </w:p>
    <w:p>
      <w:pPr>
        <w:pStyle w:val="BodyText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Professor Paul Amyotte</w:t>
      </w:r>
      <w:r>
        <w:t xml:space="preserve"> </w:t>
      </w:r>
      <w:r>
        <w:t xml:space="preserve">Receiving Editor</w:t>
      </w:r>
      <w:r>
        <w:t xml:space="preserve"> </w:t>
      </w:r>
      <w:r>
        <w:rPr>
          <w:i/>
          <w:iCs/>
        </w:rPr>
        <w:t xml:space="preserve">Journal of Loss Prevention in the Process Industries</w:t>
      </w:r>
      <w:r>
        <w:t xml:space="preserve"> </w:t>
      </w:r>
      <w:r>
        <w:t xml:space="preserve">Elsevier</w:t>
      </w:r>
    </w:p>
    <w:p>
      <w:pPr>
        <w:pStyle w:val="BodyText"/>
      </w:pPr>
      <w:r>
        <w:rPr>
          <w:b/>
          <w:bCs/>
        </w:rPr>
        <w:t xml:space="preserve">Re:</w:t>
      </w:r>
      <w:r>
        <w:t xml:space="preserve"> </w:t>
      </w:r>
      <w:r>
        <w:t xml:space="preserve">Resubmission of revised manuscript</w:t>
      </w:r>
      <w:r>
        <w:t xml:space="preserve"> </w:t>
      </w:r>
      <w:r>
        <w:t xml:space="preserve">“Detecting Jurisdiction Compliance Gaps in Process Plant Engineering with Regulatory RAG”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Professor Amyotte,</w:t>
      </w:r>
    </w:p>
    <w:p>
      <w:pPr>
        <w:pStyle w:val="BodyText"/>
      </w:pPr>
      <w:r>
        <w:t xml:space="preserve">Thank you for the opportunity to revise JLP-D-26-00414; please convey our gratitude to the three anonymous reviewers, whose detailed comments substantially strengthened the 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 axis added.</w:t>
      </w:r>
      <w:r>
        <w:t xml:space="preserve"> </w:t>
      </w:r>
      <w:r>
        <w:t xml:space="preserve">An industry-baseline comparison (</w:t>
      </w:r>
      <w:r>
        <w:t xml:space="preserve">“ASME/API pass = compliance complete”</w:t>
      </w:r>
      <w:r>
        <w:t xml:space="preserve">, 0/3 vs 3/3) and an internal four-layer ablation are now the spine of §6.6 (Tables 7, 7b).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Synthetic framing corrected.</w:t>
      </w:r>
      <w:r>
        <w:t xml:space="preserve"> </w:t>
      </w:r>
      <w:r>
        <w:t xml:space="preserve">The 220-case headline is repositioned as</w:t>
      </w:r>
      <w:r>
        <w:t xml:space="preserve"> </w:t>
      </w:r>
      <w:r>
        <w:rPr>
          <w:i/>
          <w:iCs/>
        </w:rPr>
        <w:t xml:space="preserve">implementation verification, not predictive validation</w:t>
      </w:r>
      <w:r>
        <w:t xml:space="preserve">, and supplemented by an anonymised real-plant pipeline-execution case (§6.1, §6.6.3, Appendix 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Real-plant evidence promoted.</w:t>
      </w:r>
      <w:r>
        <w:t xml:space="preserve"> </w:t>
      </w:r>
      <w:r>
        <w:t xml:space="preserve">A new §6.6.3 summarises the VES-REAL-001 anonymised cryogenic flare-drum case so a body-text reader sees the real-data run without reaching the appendix; Article 266 (mandatory, flare-path block-valve prohibition) is surfaced naturally by the retrieval.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Claims narrowed to what survives statistical scrutiny.</w:t>
      </w:r>
      <w:r>
        <w:t xml:space="preserve"> </w:t>
      </w:r>
      <w:r>
        <w:t xml:space="preserve">Headline retrieval is now Recall@1 and MRR@10, the two K values whose paired-bootstrap 95% CI excludes zero (§6.5, Table 6); §8 Limitations expand to eight items including framework-vs-validated scope and benchmark-construction independence.</w:t>
      </w:r>
    </w:p>
    <w:p>
      <w:pPr>
        <w:pStyle w:val="FirstParagraph"/>
      </w:pPr>
      <w:r>
        <w:t xml:space="preserve">The full revision is reproducible via</w:t>
      </w:r>
      <w:r>
        <w:t xml:space="preserve"> </w:t>
      </w:r>
      <w:r>
        <w:rPr>
          <w:rStyle w:val="VerbatimChar"/>
        </w:rPr>
        <w:t xml:space="preserve">scripts/reproduce_all.py</w:t>
      </w:r>
      <w:r>
        <w:t xml:space="preserve"> </w:t>
      </w:r>
      <w:r>
        <w:t xml:space="preserve">(13/13 scripts pass) with all code, datasets, and the FTS5 index manifest released under AGPL-3.0. The manuscript is exclusive to</w:t>
      </w:r>
      <w:r>
        <w:t xml:space="preserve"> </w:t>
      </w:r>
      <w:r>
        <w:rPr>
          <w:i/>
          <w:iCs/>
        </w:rPr>
        <w:t xml:space="preserve">JLP</w:t>
      </w:r>
      <w:r>
        <w:t xml:space="preserve">, has not been submitted elsewhere, and we declare no conflicts of interest.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Yuyong Kim</w:t>
      </w:r>
      <w:r>
        <w:t xml:space="preserve"> </w:t>
      </w:r>
      <w:r>
        <w:t xml:space="preserve">University of Wisconsin–Madison</w:t>
      </w:r>
      <w:r>
        <w:t xml:space="preserve"> </w:t>
      </w:r>
      <w:r>
        <w:t xml:space="preserve">M.S. Data, Insights &amp; Analytics; B.S. Chemical &amp; Biological Engineering; 12+ yr petrochemical EPC.</w:t>
      </w:r>
      <w:r>
        <w:t xml:space="preserve"> </w:t>
      </w:r>
      <w:hyperlink r:id="rId9">
        <w:r>
          <w:rPr>
            <w:rStyle w:val="Hyperlink"/>
          </w:rPr>
          <w:t xml:space="preserve">linkedin.com/in/yuyongkim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yuyongki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yuyongki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2026-05-09T13:42:33Z</dcterms:created>
  <dcterms:modified xsi:type="dcterms:W3CDTF">2026-05-09T13:42:33Z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