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0fbadfe4ef8fe41ab78f5aeab71d85571fcb95f"/>
    <w:p>
      <w:pPr>
        <w:pStyle w:val="Heading1"/>
      </w:pPr>
      <w:r>
        <w:t xml:space="preserve">Change Summary Table — JLP-D-26-00414 (revision 2026-05-10)</w:t>
      </w:r>
    </w:p>
    <w:p>
      <w:pPr>
        <w:pStyle w:val="FirstParagraph"/>
      </w:pPr>
      <w:r>
        <w:rPr>
          <w:i/>
          <w:iCs/>
        </w:rPr>
        <w:t xml:space="preserve">Maps every revised or newly added section of the manuscript to (a) its change type and (b) the reviewer comment that triggered it. See RESPONSE_TO_REVIEWERS_v2 for the full per-comment author response and PAPER_JLP_REVISED_v3_MARKED.docx for the word-level visual diff.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397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Triggered by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/>
          <w:p>
            <w:pPr>
              <w:pStyle w:val="Compact"/>
            </w:pPr>
            <w:r>
              <w:t xml:space="preserve">R1.4, R2.1</w:t>
            </w:r>
          </w:p>
        </w:tc>
        <w:tc>
          <w:tcPr/>
          <w:p>
            <w:pPr>
              <w:pStyle w:val="Compact"/>
            </w:pPr>
            <w:r>
              <w:t xml:space="preserve">Reframed synthetic results as implementation verification; tightened retrieval claims to stat-significant K (Recall@1, MRR@10 with paired-bootstrap 95% CI).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/>
          <w:p>
            <w:pPr>
              <w:pStyle w:val="Compact"/>
            </w:pPr>
            <w:r>
              <w:t xml:space="preserve">R1.1, R2.1</w:t>
            </w:r>
          </w:p>
        </w:tc>
        <w:tc>
          <w:tcPr/>
          <w:p>
            <w:pPr>
              <w:pStyle w:val="Compact"/>
            </w:pPr>
            <w:r>
              <w:t xml:space="preserve">Tightened motivation; introduced jurisdiction compliance gap terminology; clarified two-RQ scope.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2.1 AI Applications in Process Safety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/>
          <w:p>
            <w:pPr>
              <w:pStyle w:val="Compact"/>
            </w:pPr>
            <w:r>
              <w:t xml:space="preserve">R2.x</w:t>
            </w:r>
          </w:p>
        </w:tc>
        <w:tc>
          <w:tcPr/>
          <w:p>
            <w:pPr>
              <w:pStyle w:val="Compact"/>
            </w:pPr>
            <w:r>
              <w:t xml:space="preserve">Updated literature framing for process-safety AI.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2.2 RAG in Technical and Regulatory Domains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/>
          <w:p>
            <w:pPr>
              <w:pStyle w:val="Compact"/>
            </w:pPr>
            <w:r>
              <w:t xml:space="preserve">R2.x</w:t>
            </w:r>
          </w:p>
        </w:tc>
        <w:tc>
          <w:tcPr/>
          <w:p>
            <w:pPr>
              <w:pStyle w:val="Compact"/>
            </w:pPr>
            <w:r>
              <w:t xml:space="preserve">Revised RAG-in-regulatory-domains positioning.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2.3 Multi-Discipline Maintenance and 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/>
          <w:p>
            <w:pPr>
              <w:pStyle w:val="Compact"/>
            </w:pPr>
            <w:r>
              <w:t xml:space="preserve">R2.x</w:t>
            </w:r>
          </w:p>
        </w:tc>
        <w:tc>
          <w:tcPr/>
          <w:p>
            <w:pPr>
              <w:pStyle w:val="Compact"/>
            </w:pPr>
            <w:r>
              <w:t xml:space="preserve">Clarified multi-discipline asset-integrity context.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2.4 Verification Methodology — N-Version / K-Voting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/>
          <w:p>
            <w:pPr>
              <w:pStyle w:val="Compact"/>
            </w:pPr>
            <w:r>
              <w:t xml:space="preserve">R3.1</w:t>
            </w:r>
          </w:p>
        </w:tc>
        <w:tc>
          <w:tcPr/>
          <w:p>
            <w:pPr>
              <w:pStyle w:val="Compact"/>
            </w:pPr>
            <w:r>
              <w:t xml:space="preserve">Strengthened N-version programming background relevant to K-voting rationale.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2.5 Korean PSM Regulation and KOSHA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/>
          <w:p>
            <w:pPr>
              <w:pStyle w:val="Compact"/>
            </w:pPr>
            <w:r>
              <w:t xml:space="preserve">R2.3</w:t>
            </w:r>
          </w:p>
        </w:tc>
        <w:tc>
          <w:tcPr/>
          <w:p>
            <w:pPr>
              <w:pStyle w:val="Compact"/>
            </w:pPr>
            <w:r>
              <w:t xml:space="preserve">Sharpened Korean-jurisdiction regulatory background.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2.6 Position relative to HAZOP, RBI, Digital Twin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R2.2</w:t>
            </w:r>
          </w:p>
        </w:tc>
        <w:tc>
          <w:tcPr/>
          <w:p>
            <w:pPr>
              <w:pStyle w:val="Compact"/>
            </w:pPr>
            <w:r>
              <w:t xml:space="preserve">New subsection positioning the framework against HAZOP, RBI, and Digital Twin scope.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3.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/>
          <w:p>
            <w:pPr>
              <w:pStyle w:val="Compact"/>
            </w:pPr>
            <w:r>
              <w:t xml:space="preserve">R1.1</w:t>
            </w:r>
          </w:p>
        </w:tc>
        <w:tc>
          <w:tcPr/>
          <w:p>
            <w:pPr>
              <w:pStyle w:val="Compact"/>
            </w:pPr>
            <w:r>
              <w:t xml:space="preserve">Named deterministic state machine and orchestrator (pipeline.py); added Figure 1.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4.1 Corpus Construction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/>
          <w:p>
            <w:pPr>
              <w:pStyle w:val="Compact"/>
            </w:pPr>
            <w:r>
              <w:t xml:space="preserve">R2.4</w:t>
            </w:r>
          </w:p>
        </w:tc>
        <w:tc>
          <w:tcPr/>
          <w:p>
            <w:pPr>
              <w:pStyle w:val="Compact"/>
            </w:pPr>
            <w:r>
              <w:t xml:space="preserve">Corrected corpus counts to 1,327 guides + 3,102 statutory rows -&gt; 16,174 indexed entries (12 excluded for empty body).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4.2 Retrieval and Generation Pipeline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/>
          <w:p>
            <w:pPr>
              <w:pStyle w:val="Compact"/>
            </w:pPr>
            <w:r>
              <w:t xml:space="preserve">R1.1, R2.x</w:t>
            </w:r>
          </w:p>
        </w:tc>
        <w:tc>
          <w:tcPr/>
          <w:p>
            <w:pPr>
              <w:pStyle w:val="Compact"/>
            </w:pPr>
            <w:r>
              <w:t xml:space="preserve">Formalised concept-aware query builder, synonym expansion, OR-fallback; added Figure 2.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4.3 KOSHA Regulatory Grounding — Mandatory vs Guidance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R2.3</w:t>
            </w:r>
          </w:p>
        </w:tc>
        <w:tc>
          <w:tcPr/>
          <w:p>
            <w:pPr>
              <w:pStyle w:val="Compact"/>
            </w:pPr>
            <w:r>
              <w:t xml:space="preserve">New subsection separating mandatory law-articles from KOSHA guides for citation policy.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4.4 Why standard EPC workflows do not cover these obligations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R2.3</w:t>
            </w:r>
          </w:p>
        </w:tc>
        <w:tc>
          <w:tcPr/>
          <w:p>
            <w:pPr>
              <w:pStyle w:val="Compact"/>
            </w:pPr>
            <w:r>
              <w:t xml:space="preserve">New subsection explaining the gap between EPC-standards review and KOSHA PSM coverage.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5.1 Domain Calculation Engines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/>
          <w:p>
            <w:pPr>
              <w:pStyle w:val="Compact"/>
            </w:pPr>
            <w:r>
              <w:t xml:space="preserve">R1.1</w:t>
            </w:r>
          </w:p>
        </w:tc>
        <w:tc>
          <w:tcPr/>
          <w:p>
            <w:pPr>
              <w:pStyle w:val="Compact"/>
            </w:pPr>
            <w:r>
              <w:t xml:space="preserve">Added Table 1 mapping seven engines -&gt; standards -&gt; source files.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5.2 Four-Layer Hybrid Verification Model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/>
          <w:p>
            <w:pPr>
              <w:pStyle w:val="Compact"/>
            </w:pPr>
            <w:r>
              <w:t xml:space="preserve">R1.1, R3.1</w:t>
            </w:r>
          </w:p>
        </w:tc>
        <w:tc>
          <w:tcPr/>
          <w:p>
            <w:pPr>
              <w:pStyle w:val="Compact"/>
            </w:pPr>
            <w:r>
              <w:t xml:space="preserve">Documented Layer-4 thresholds (2% warning, 5% escalation), aligned with reverse_check.py.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5.3 Cross-Discipline Consistency Validator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/>
          <w:p>
            <w:pPr>
              <w:pStyle w:val="Compact"/>
            </w:pPr>
            <w:r>
              <w:t xml:space="preserve">R1.1</w:t>
            </w:r>
          </w:p>
        </w:tc>
        <w:tc>
          <w:tcPr/>
          <w:p>
            <w:pPr>
              <w:pStyle w:val="Compact"/>
            </w:pPr>
            <w:r>
              <w:t xml:space="preserve">Documented ten-pair coupling set; Figure 3 added.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5.4 Why three paths and a 1% tolerance? — K-voting design rationale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R3.1</w:t>
            </w:r>
          </w:p>
        </w:tc>
        <w:tc>
          <w:tcPr/>
          <w:p>
            <w:pPr>
              <w:pStyle w:val="Compact"/>
            </w:pPr>
            <w:r>
              <w:t xml:space="preserve">New subsection giving design rationale for K-voting (3 paths, 1% tolerance).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6.1 Calculation Accuracy on the Golden Dataset (implementation verification)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/>
          <w:p>
            <w:pPr>
              <w:pStyle w:val="Compact"/>
            </w:pPr>
            <w:r>
              <w:t xml:space="preserve">R1.5</w:t>
            </w:r>
          </w:p>
        </w:tc>
        <w:tc>
          <w:tcPr/>
          <w:p>
            <w:pPr>
              <w:pStyle w:val="Compact"/>
            </w:pPr>
            <w:r>
              <w:t xml:space="preserve">Reframed 220-case headline as implementation verification, not predictive validation; added benchmark-construction subsection.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6.2 Seven-Discipline Pipeline Evaluation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/>
          <w:p>
            <w:pPr>
              <w:pStyle w:val="Compact"/>
            </w:pPr>
            <w:r>
              <w:t xml:space="preserve">R1.x</w:t>
            </w:r>
          </w:p>
        </w:tc>
        <w:tc>
          <w:tcPr/>
          <w:p>
            <w:pPr>
              <w:pStyle w:val="Compact"/>
            </w:pPr>
            <w:r>
              <w:t xml:space="preserve">Clarified 43-scenario pipeline-eval scope vs 60-scenario ablation in §6.3.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6.3 Cross-Discipline Validator Ablation (RQ1)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/>
          <w:p>
            <w:pPr>
              <w:pStyle w:val="Compact"/>
            </w:pPr>
            <w:r>
              <w:t xml:space="preserve">R1.1</w:t>
            </w:r>
          </w:p>
        </w:tc>
        <w:tc>
          <w:tcPr/>
          <w:p>
            <w:pPr>
              <w:pStyle w:val="Compact"/>
            </w:pPr>
            <w:r>
              <w:t xml:space="preserve">Updated headline to 26/60 (+0.4333, drift-corrected); added per-failure-mode 22/3/1 partition; Figure 4 added.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6.4 KOSHA RAG Regulatory Grounding — Three Cases (RQ2)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/>
          <w:p>
            <w:pPr>
              <w:pStyle w:val="Compact"/>
            </w:pPr>
            <w:r>
              <w:t xml:space="preserve">R2.3</w:t>
            </w:r>
          </w:p>
        </w:tc>
        <w:tc>
          <w:tcPr/>
          <w:p>
            <w:pPr>
              <w:pStyle w:val="Compact"/>
            </w:pPr>
            <w:r>
              <w:t xml:space="preserve">Each case now identifies the specific mandatory KOSHA article surfaced (Article 256 / 266 / B-M-18).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6.5 Curated Retrieval Benchmark (RQ2)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/>
          <w:p>
            <w:pPr>
              <w:pStyle w:val="Compact"/>
            </w:pPr>
            <w:r>
              <w:t xml:space="preserve">R1.4</w:t>
            </w:r>
          </w:p>
        </w:tc>
        <w:tc>
          <w:tcPr/>
          <w:p>
            <w:pPr>
              <w:pStyle w:val="Compact"/>
            </w:pPr>
            <w:r>
              <w:t xml:space="preserve">Added paired-bootstrap 95% CI; honest disclosure that Recall@3/</w:t>
            </w:r>
            <w:r>
              <w:t xml:space="preserve">@5</w:t>
            </w:r>
            <w:r>
              <w:t xml:space="preserve"> </w:t>
            </w:r>
            <w:r>
              <w:t xml:space="preserve">CI includes zero; Figure 5 added.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6.6 Industry-Baseline Comparison and Internal Ablation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R1.1</w:t>
            </w:r>
          </w:p>
        </w:tc>
        <w:tc>
          <w:tcPr/>
          <w:p>
            <w:pPr>
              <w:pStyle w:val="Compact"/>
            </w:pPr>
            <w:r>
              <w:t xml:space="preserve">New subsection: industry baseline (ASME/API pass = compliance complete) 0/3 vs 3/3, plus four-layer ablation Table 7b.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6.6.3 Real-plant pipeline-execution evidence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R1.5</w:t>
            </w:r>
          </w:p>
        </w:tc>
        <w:tc>
          <w:tcPr/>
          <w:p>
            <w:pPr>
              <w:pStyle w:val="Compact"/>
            </w:pPr>
            <w:r>
              <w:t xml:space="preserve">Body-level summary of VES-REAL-001 anonymised cryogenic flare-drum case; Article 266 surfaced naturally.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6.7 Citation Traceability and Negative-Case Evidence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R1.5</w:t>
            </w:r>
          </w:p>
        </w:tc>
        <w:tc>
          <w:tcPr/>
          <w:p>
            <w:pPr>
              <w:pStyle w:val="Compact"/>
            </w:pPr>
            <w:r>
              <w:t xml:space="preserve">New subsection on citation-traceability precision (100% by construction) and PIP-GOLD-003 negative case.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7.1 The jurisdiction compliance gap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/>
          <w:p>
            <w:pPr>
              <w:pStyle w:val="Compact"/>
            </w:pPr>
            <w:r>
              <w:t xml:space="preserve">R1.x, R2.1</w:t>
            </w:r>
          </w:p>
        </w:tc>
        <w:tc>
          <w:tcPr/>
          <w:p>
            <w:pPr>
              <w:pStyle w:val="Compact"/>
            </w:pPr>
            <w:r>
              <w:t xml:space="preserve">Sharpened gap definition tying calculation-only review to KOSHA PSM obligations.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7.2 Compliance co-pilot, not replacement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R2.2</w:t>
            </w:r>
          </w:p>
        </w:tc>
        <w:tc>
          <w:tcPr/>
          <w:p>
            <w:pPr>
              <w:pStyle w:val="Compact"/>
            </w:pPr>
            <w:r>
              <w:t xml:space="preserve">New subsection positioning the framework as a compliance co-pilot for HAZOP / RBI / Digital Twin / Regulatory RAG.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7.3 HAZOP scope clarification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R2.2</w:t>
            </w:r>
          </w:p>
        </w:tc>
        <w:tc>
          <w:tcPr/>
          <w:p>
            <w:pPr>
              <w:pStyle w:val="Compact"/>
            </w:pPr>
            <w:r>
              <w:t xml:space="preserve">New subsection: knowledge-based / AI-assisted, not a replacement for dynamic HAZOP.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7.4 Fitness-for-Service vs EPC standards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R2.5</w:t>
            </w:r>
          </w:p>
        </w:tc>
        <w:tc>
          <w:tcPr/>
          <w:p>
            <w:pPr>
              <w:pStyle w:val="Compact"/>
            </w:pPr>
            <w:r>
              <w:t xml:space="preserve">New subsection separating FFS workflows from EPC-standards verification scope.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7.5 Process-safety contribution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/>
          <w:p>
            <w:pPr>
              <w:pStyle w:val="Compact"/>
            </w:pPr>
            <w:r>
              <w:t xml:space="preserve">R2.x</w:t>
            </w:r>
          </w:p>
        </w:tc>
        <w:tc>
          <w:tcPr/>
          <w:p>
            <w:pPr>
              <w:pStyle w:val="Compact"/>
            </w:pPr>
            <w:r>
              <w:t xml:space="preserve">Clarified the process-safety contribution narrative.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7.6 Reproducibility and explainability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R1.x, R2.x</w:t>
            </w:r>
          </w:p>
        </w:tc>
        <w:tc>
          <w:tcPr/>
          <w:p>
            <w:pPr>
              <w:pStyle w:val="Compact"/>
            </w:pPr>
            <w:r>
              <w:t xml:space="preserve">New subsection documenting end-to-end reproducibility (scripts/reproduce_all.py 13/13).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8. Limitations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/>
          <w:p>
            <w:pPr>
              <w:pStyle w:val="Compact"/>
            </w:pPr>
            <w:r>
              <w:t xml:space="preserve">R1.5, R2.1</w:t>
            </w:r>
          </w:p>
        </w:tc>
        <w:tc>
          <w:tcPr/>
          <w:p>
            <w:pPr>
              <w:pStyle w:val="Compact"/>
            </w:pPr>
            <w:r>
              <w:t xml:space="preserve">Expanded from 3 -&gt; 8 limitations including framework-vs-validated scope and benchmark-construction independence.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9. Conclusion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/>
          <w:p>
            <w:pPr>
              <w:pStyle w:val="Compact"/>
            </w:pPr>
            <w:r>
              <w:t xml:space="preserve">R1.x</w:t>
            </w:r>
          </w:p>
        </w:tc>
        <w:tc>
          <w:tcPr/>
          <w:p>
            <w:pPr>
              <w:pStyle w:val="Compact"/>
            </w:pPr>
            <w:r>
              <w:t xml:space="preserve">Synthesised the revised contribution: integrated platform, four-layer verification, KOSHA RAG.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Acknowledgements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/>
          <w:p>
            <w:pPr>
              <w:pStyle w:val="Compact"/>
            </w:pPr>
            <w:r>
              <w:t xml:space="preserve">blind-review</w:t>
            </w:r>
          </w:p>
        </w:tc>
        <w:tc>
          <w:tcPr/>
          <w:p>
            <w:pPr>
              <w:pStyle w:val="Compact"/>
            </w:pPr>
            <w:r>
              <w:t xml:space="preserve">Acknowledgements reworded for strict blind-review compliance (no direct reviewer tokens in body).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Code and Data Availability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R1.x</w:t>
            </w:r>
          </w:p>
        </w:tc>
        <w:tc>
          <w:tcPr/>
          <w:p>
            <w:pPr>
              <w:pStyle w:val="Compact"/>
            </w:pPr>
            <w:r>
              <w:t xml:space="preserve">New section with AGPL-3.0 code/data release statement.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Acronyms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JLP-style</w:t>
            </w:r>
          </w:p>
        </w:tc>
        <w:tc>
          <w:tcPr/>
          <w:p>
            <w:pPr>
              <w:pStyle w:val="Compact"/>
            </w:pPr>
            <w:r>
              <w:t xml:space="preserve">New acronym glossary (JLP house style).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Key Definitions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JLP-style</w:t>
            </w:r>
          </w:p>
        </w:tc>
        <w:tc>
          <w:tcPr/>
          <w:p>
            <w:pPr>
              <w:pStyle w:val="Compact"/>
            </w:pPr>
            <w:r>
              <w:t xml:space="preserve">New key-term definitions for clarity.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Appendix A. Real-Plant Data-Sheet Validation (VES-REAL-001)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R1.5</w:t>
            </w:r>
          </w:p>
        </w:tc>
        <w:tc>
          <w:tcPr/>
          <w:p>
            <w:pPr>
              <w:pStyle w:val="Compact"/>
            </w:pPr>
            <w:r>
              <w:t xml:space="preserve">New appendix: anonymised real-plant cryogenic flare-drum case with UG-27 calculation + KOSHA RAG retrieval (both probe variants).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Appendix B — Extended validation evidence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R1.x, R2.x</w:t>
            </w:r>
          </w:p>
        </w:tc>
        <w:tc>
          <w:tcPr/>
          <w:p>
            <w:pPr>
              <w:pStyle w:val="Compact"/>
            </w:pPr>
            <w:r>
              <w:t xml:space="preserve">New appendix: per-discipline accuracy, Recall@K (K = 1..10), pipeline latency, retrieval failure inventory, full reproducibility manifest.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Summary</w:t>
      </w:r>
    </w:p>
    <w:p>
      <w:pPr>
        <w:pStyle w:val="Compact"/>
        <w:numPr>
          <w:ilvl w:val="0"/>
          <w:numId w:val="1001"/>
        </w:numPr>
      </w:pPr>
      <w:r>
        <w:t xml:space="preserve">Total marked sections:</w:t>
      </w:r>
      <w:r>
        <w:t xml:space="preserve"> </w:t>
      </w:r>
      <w:r>
        <w:rPr>
          <w:b/>
          <w:bCs/>
        </w:rPr>
        <w:t xml:space="preserve">39</w:t>
      </w:r>
    </w:p>
    <w:p>
      <w:pPr>
        <w:pStyle w:val="Compact"/>
        <w:numPr>
          <w:ilvl w:val="0"/>
          <w:numId w:val="1001"/>
        </w:numPr>
      </w:pPr>
      <w:r>
        <w:t xml:space="preserve">NEW:</w:t>
      </w:r>
      <w:r>
        <w:t xml:space="preserve"> </w:t>
      </w:r>
      <w:r>
        <w:rPr>
          <w:b/>
          <w:bCs/>
        </w:rPr>
        <w:t xml:space="preserve">16</w:t>
      </w:r>
    </w:p>
    <w:p>
      <w:pPr>
        <w:pStyle w:val="Compact"/>
        <w:numPr>
          <w:ilvl w:val="0"/>
          <w:numId w:val="1001"/>
        </w:numPr>
      </w:pPr>
      <w:r>
        <w:t xml:space="preserve">REVISED:</w:t>
      </w:r>
      <w:r>
        <w:t xml:space="preserve"> </w:t>
      </w:r>
      <w:r>
        <w:rPr>
          <w:b/>
          <w:bCs/>
        </w:rPr>
        <w:t xml:space="preserve">23</w:t>
      </w:r>
    </w:p>
    <w:p>
      <w:pPr>
        <w:pStyle w:val="FirstParagraph"/>
      </w:pPr>
      <w:r>
        <w:rPr>
          <w:b/>
          <w:bCs/>
        </w:rPr>
        <w:t xml:space="preserve">Reviewer-comment coverage</w:t>
      </w:r>
    </w:p>
    <w:p>
      <w:pPr>
        <w:pStyle w:val="Compact"/>
        <w:numPr>
          <w:ilvl w:val="0"/>
          <w:numId w:val="1002"/>
        </w:numPr>
      </w:pPr>
      <w:r>
        <w:t xml:space="preserve">Reviewer 1 cited in ~21 section rows</w:t>
      </w:r>
    </w:p>
    <w:p>
      <w:pPr>
        <w:pStyle w:val="Compact"/>
        <w:numPr>
          <w:ilvl w:val="0"/>
          <w:numId w:val="1002"/>
        </w:numPr>
      </w:pPr>
      <w:r>
        <w:t xml:space="preserve">Reviewer 2 cited in ~20 section rows</w:t>
      </w:r>
    </w:p>
    <w:p>
      <w:pPr>
        <w:pStyle w:val="Compact"/>
        <w:numPr>
          <w:ilvl w:val="0"/>
          <w:numId w:val="1002"/>
        </w:numPr>
      </w:pPr>
      <w:r>
        <w:t xml:space="preserve">Reviewer 3 cited in ~3 section rows</w:t>
      </w:r>
    </w:p>
    <w:p>
      <w:pPr>
        <w:pStyle w:val="FirstParagraph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‘R</w:t>
      </w:r>
      <w:r>
        <w:rPr>
          <w:i/>
          <w:i/>
          <w:iCs/>
          <w:iCs/>
        </w:rPr>
        <w:t xml:space="preserve">x</w:t>
      </w:r>
      <w:r>
        <w:rPr>
          <w:i/>
          <w:iCs/>
        </w:rPr>
        <w:t xml:space="preserve">’</w:t>
      </w:r>
      <w:r>
        <w:rPr>
          <w:i/>
          <w:iCs/>
        </w:rPr>
        <w:t xml:space="preserve"> </w:t>
      </w:r>
      <w:r>
        <w:rPr>
          <w:i/>
          <w:iCs/>
        </w:rPr>
        <w:t xml:space="preserve">suffix references the reviewer comment numbering in the original peer-review report; full mapping in RESPONSE_TO_REVIEWERS_v2.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2026-05-10T03:35:28Z</dcterms:created>
  <dcterms:modified xsi:type="dcterms:W3CDTF">2026-05-10T03:35:28Z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