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Before / After section comparison — JLP-D-26-00414 (revision 2026-05-10)</w:t>
      </w:r>
    </w:p>
    <w:p>
      <w:r>
        <w:rPr>
          <w:i/>
        </w:rPr>
        <w:t>70 changed rows: 22 NEW, 36 REVISED, 12 DELETED. (Sections &gt;=95% identical between versions are not shown.) Excerpts truncated to 1200 chars per cell. See PAPER_JLP_REVISED_v3.docx for the full revised manuscript.</w:t>
      </w:r>
    </w:p>
    <w:tbl>
      <w:tblPr>
        <w:tblStyle w:val="LightGrid-Accent1"/>
        <w:tblW w:type="auto" w:w="0"/>
        <w:tblLook w:firstColumn="1" w:firstRow="1" w:lastColumn="0" w:lastRow="0" w:noHBand="0" w:noVBand="1" w:val="04A0"/>
        <w:tblLayout w:type="fixed"/>
      </w:tblPr>
      <w:tblGrid>
        <w:gridCol w:w="576"/>
        <w:gridCol w:w="2880"/>
        <w:gridCol w:w="5760"/>
        <w:gridCol w:w="5760"/>
      </w:tblGrid>
      <w:tr>
        <w:tc>
          <w:tcPr>
            <w:tcW w:type="dxa" w:w="576"/>
            <w:shd w:val="clear" w:color="auto" w:fill="D9E1F2"/>
          </w:tcPr>
          <w:p>
            <w:r>
              <w:rPr>
                <w:b/>
              </w:rPr>
              <w:t>#</w:t>
            </w:r>
          </w:p>
        </w:tc>
        <w:tc>
          <w:tcPr>
            <w:tcW w:type="dxa" w:w="2880"/>
            <w:shd w:val="clear" w:color="auto" w:fill="D9E1F2"/>
          </w:tcPr>
          <w:p>
            <w:r>
              <w:rPr>
                <w:b/>
              </w:rPr>
              <w:t>Section</w:t>
            </w:r>
          </w:p>
        </w:tc>
        <w:tc>
          <w:tcPr>
            <w:tcW w:type="dxa" w:w="5760"/>
            <w:shd w:val="clear" w:color="auto" w:fill="D9E1F2"/>
          </w:tcPr>
          <w:p>
            <w:r>
              <w:rPr>
                <w:b/>
              </w:rPr>
              <w:t>Before (initial submission, 2026-03-31)</w:t>
            </w:r>
          </w:p>
        </w:tc>
        <w:tc>
          <w:tcPr>
            <w:tcW w:type="dxa" w:w="5760"/>
            <w:shd w:val="clear" w:color="auto" w:fill="D9E1F2"/>
          </w:tcPr>
          <w:p>
            <w:r>
              <w:rPr>
                <w:b/>
              </w:rPr>
              <w:t>After (this revision)</w:t>
            </w:r>
          </w:p>
        </w:tc>
      </w:tr>
      <w:tr>
        <w:tc>
          <w:tcPr>
            <w:tcW w:type="dxa" w:w="576"/>
            <w:shd w:val="clear" w:color="auto" w:fill="E2F0D9"/>
            <w:vAlign w:val="top"/>
          </w:tcPr>
          <w:p>
            <w:r>
              <w:rPr>
                <w:sz w:val="16"/>
              </w:rPr>
              <w:t>1</w:t>
            </w:r>
          </w:p>
        </w:tc>
        <w:tc>
          <w:tcPr>
            <w:tcW w:type="dxa" w:w="2880"/>
            <w:shd w:val="clear" w:color="auto" w:fill="E2F0D9"/>
            <w:vAlign w:val="top"/>
          </w:tcPr>
          <w:p>
            <w:r>
              <w:rPr>
                <w:b/>
                <w:sz w:val="16"/>
              </w:rPr>
              <w:t xml:space="preserve">[NEW] </w:t>
            </w:r>
            <w:r>
              <w:rPr>
                <w:sz w:val="16"/>
              </w:rPr>
              <w:t>A KOSHA Regulatory Knowledge-Grounded Multi-Discipline AI Verification Framework for Process Plant Engineering</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Yuyong Kim University of Wisconsin–Madison ykim288@wisc.edu Manuscript number: JLP-D-26-00414 (revised)</w:t>
            </w:r>
          </w:p>
        </w:tc>
      </w:tr>
      <w:tr>
        <w:tc>
          <w:tcPr>
            <w:tcW w:type="dxa" w:w="576"/>
            <w:shd w:val="clear" w:color="auto" w:fill="FFF2CC"/>
            <w:vAlign w:val="top"/>
          </w:tcPr>
          <w:p>
            <w:r>
              <w:rPr>
                <w:sz w:val="16"/>
              </w:rPr>
              <w:t>2</w:t>
            </w:r>
          </w:p>
        </w:tc>
        <w:tc>
          <w:tcPr>
            <w:tcW w:type="dxa" w:w="2880"/>
            <w:shd w:val="clear" w:color="auto" w:fill="FFF2CC"/>
            <w:vAlign w:val="top"/>
          </w:tcPr>
          <w:p>
            <w:r>
              <w:rPr>
                <w:b/>
                <w:sz w:val="16"/>
              </w:rPr>
              <w:t xml:space="preserve">[REVISED] </w:t>
            </w:r>
            <w:r>
              <w:rPr>
                <w:sz w:val="16"/>
              </w:rPr>
              <w:t>Abstract</w:t>
            </w:r>
          </w:p>
        </w:tc>
        <w:tc>
          <w:tcPr>
            <w:tcW w:type="dxa" w:w="5760"/>
            <w:shd w:val="clear" w:color="auto" w:fill="FFF2CC"/>
            <w:vAlign w:val="top"/>
          </w:tcPr>
          <w:p>
            <w:r>
              <w:rPr>
                <w:sz w:val="16"/>
              </w:rPr>
              <w:t>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…[truncated]</w:t>
            </w:r>
          </w:p>
        </w:tc>
        <w:tc>
          <w:tcPr>
            <w:tcW w:type="dxa" w:w="5760"/>
            <w:shd w:val="clear" w:color="auto" w:fill="FFF2CC"/>
            <w:vAlign w:val="top"/>
          </w:tcPr>
          <w:p>
            <w:r>
              <w:rPr>
                <w:sz w:val="16"/>
              </w:rPr>
              <w:t>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…[truncated]</w:t>
            </w:r>
          </w:p>
        </w:tc>
      </w:tr>
      <w:tr>
        <w:tc>
          <w:tcPr>
            <w:tcW w:type="dxa" w:w="576"/>
            <w:shd w:val="clear" w:color="auto" w:fill="FFF2CC"/>
            <w:vAlign w:val="top"/>
          </w:tcPr>
          <w:p>
            <w:r>
              <w:rPr>
                <w:sz w:val="16"/>
              </w:rPr>
              <w:t>3</w:t>
            </w:r>
          </w:p>
        </w:tc>
        <w:tc>
          <w:tcPr>
            <w:tcW w:type="dxa" w:w="2880"/>
            <w:shd w:val="clear" w:color="auto" w:fill="FFF2CC"/>
            <w:vAlign w:val="top"/>
          </w:tcPr>
          <w:p>
            <w:r>
              <w:rPr>
                <w:b/>
                <w:sz w:val="16"/>
              </w:rPr>
              <w:t xml:space="preserve">[REVISED] </w:t>
            </w:r>
            <w:r>
              <w:rPr>
                <w:sz w:val="16"/>
              </w:rPr>
              <w:t>1 Introduction</w:t>
            </w:r>
          </w:p>
        </w:tc>
        <w:tc>
          <w:tcPr>
            <w:tcW w:type="dxa" w:w="5760"/>
            <w:shd w:val="clear" w:color="auto" w:fill="FFF2CC"/>
            <w:vAlign w:val="top"/>
          </w:tcPr>
          <w:p>
            <w:r>
              <w:rPr>
                <w:sz w:val="16"/>
              </w:rPr>
            </w:r>
          </w:p>
        </w:tc>
        <w:tc>
          <w:tcPr>
            <w:tcW w:type="dxa" w:w="5760"/>
            <w:shd w:val="clear" w:color="auto" w:fill="FFF2CC"/>
            <w:vAlign w:val="top"/>
          </w:tcPr>
          <w:p>
            <w:r>
              <w:rPr>
                <w:sz w:val="16"/>
              </w:rPr>
              <w:t>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…[truncated]</w:t>
            </w:r>
          </w:p>
        </w:tc>
      </w:tr>
      <w:tr>
        <w:tc>
          <w:tcPr>
            <w:tcW w:type="dxa" w:w="576"/>
            <w:shd w:val="clear" w:color="auto" w:fill="E2F0D9"/>
            <w:vAlign w:val="top"/>
          </w:tcPr>
          <w:p>
            <w:r>
              <w:rPr>
                <w:sz w:val="16"/>
              </w:rPr>
              <w:t>4</w:t>
            </w:r>
          </w:p>
        </w:tc>
        <w:tc>
          <w:tcPr>
            <w:tcW w:type="dxa" w:w="2880"/>
            <w:shd w:val="clear" w:color="auto" w:fill="E2F0D9"/>
            <w:vAlign w:val="top"/>
          </w:tcPr>
          <w:p>
            <w:r>
              <w:rPr>
                <w:b/>
                <w:sz w:val="16"/>
              </w:rPr>
              <w:t xml:space="preserve">[NEW] </w:t>
            </w:r>
            <w:r>
              <w:rPr>
                <w:sz w:val="16"/>
              </w:rPr>
              <w:t>2.1 AI Applications in Process Safety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…[truncated]</w:t>
            </w:r>
          </w:p>
        </w:tc>
      </w:tr>
      <w:tr>
        <w:tc>
          <w:tcPr>
            <w:tcW w:type="dxa" w:w="576"/>
            <w:shd w:val="clear" w:color="auto" w:fill="FFF2CC"/>
            <w:vAlign w:val="top"/>
          </w:tcPr>
          <w:p>
            <w:r>
              <w:rPr>
                <w:sz w:val="16"/>
              </w:rPr>
              <w:t>5</w:t>
            </w:r>
          </w:p>
        </w:tc>
        <w:tc>
          <w:tcPr>
            <w:tcW w:type="dxa" w:w="2880"/>
            <w:shd w:val="clear" w:color="auto" w:fill="FFF2CC"/>
            <w:vAlign w:val="top"/>
          </w:tcPr>
          <w:p>
            <w:r>
              <w:rPr>
                <w:b/>
                <w:sz w:val="16"/>
              </w:rPr>
              <w:t xml:space="preserve">[REVISED] </w:t>
            </w:r>
            <w:r>
              <w:rPr>
                <w:sz w:val="16"/>
              </w:rPr>
              <w:t>2.2 RAG in Technical and Regulatory Domains</w:t>
            </w:r>
          </w:p>
        </w:tc>
        <w:tc>
          <w:tcPr>
            <w:tcW w:type="dxa" w:w="5760"/>
            <w:shd w:val="clear" w:color="auto" w:fill="FFF2CC"/>
            <w:vAlign w:val="top"/>
          </w:tcPr>
          <w:p>
            <w:r>
              <w:rPr>
                <w:sz w:val="16"/>
              </w:rPr>
              <w:t>(was: 2.2 Retrieval-augmented generation for regulatory domains)</w:t>
              <w:br/>
              <w:br/>
              <w:t>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t>
            </w:r>
          </w:p>
        </w:tc>
        <w:tc>
          <w:tcPr>
            <w:tcW w:type="dxa" w:w="5760"/>
            <w:shd w:val="clear" w:color="auto" w:fill="FFF2CC"/>
            <w:vAlign w:val="top"/>
          </w:tcPr>
          <w:p>
            <w:r>
              <w:rPr>
                <w:sz w:val="16"/>
              </w:rPr>
              <w:t>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tc>
      </w:tr>
      <w:tr>
        <w:tc>
          <w:tcPr>
            <w:tcW w:type="dxa" w:w="576"/>
            <w:shd w:val="clear" w:color="auto" w:fill="FFF2CC"/>
            <w:vAlign w:val="top"/>
          </w:tcPr>
          <w:p>
            <w:r>
              <w:rPr>
                <w:sz w:val="16"/>
              </w:rPr>
              <w:t>6</w:t>
            </w:r>
          </w:p>
        </w:tc>
        <w:tc>
          <w:tcPr>
            <w:tcW w:type="dxa" w:w="2880"/>
            <w:shd w:val="clear" w:color="auto" w:fill="FFF2CC"/>
            <w:vAlign w:val="top"/>
          </w:tcPr>
          <w:p>
            <w:r>
              <w:rPr>
                <w:b/>
                <w:sz w:val="16"/>
              </w:rPr>
              <w:t xml:space="preserve">[REVISED] </w:t>
            </w:r>
            <w:r>
              <w:rPr>
                <w:sz w:val="16"/>
              </w:rPr>
              <w:t>2.3 Multi-Discipline Maintenance and Asset Integrity</w:t>
            </w:r>
          </w:p>
        </w:tc>
        <w:tc>
          <w:tcPr>
            <w:tcW w:type="dxa" w:w="5760"/>
            <w:shd w:val="clear" w:color="auto" w:fill="FFF2CC"/>
            <w:vAlign w:val="top"/>
          </w:tcPr>
          <w:p>
            <w:r>
              <w:rPr>
                <w:sz w:val="16"/>
              </w:rPr>
              <w:t>(was: 2.3 Multi-discipline asset integrity)</w:t>
              <w:br/>
              <w:br/>
              <w:t>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t>
            </w:r>
          </w:p>
        </w:tc>
        <w:tc>
          <w:tcPr>
            <w:tcW w:type="dxa" w:w="5760"/>
            <w:shd w:val="clear" w:color="auto" w:fill="FFF2CC"/>
            <w:vAlign w:val="top"/>
          </w:tcPr>
          <w:p>
            <w:r>
              <w:rPr>
                <w:sz w:val="16"/>
              </w:rPr>
              <w:t>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tc>
      </w:tr>
      <w:tr>
        <w:tc>
          <w:tcPr>
            <w:tcW w:type="dxa" w:w="576"/>
            <w:shd w:val="clear" w:color="auto" w:fill="FFF2CC"/>
            <w:vAlign w:val="top"/>
          </w:tcPr>
          <w:p>
            <w:r>
              <w:rPr>
                <w:sz w:val="16"/>
              </w:rPr>
              <w:t>7</w:t>
            </w:r>
          </w:p>
        </w:tc>
        <w:tc>
          <w:tcPr>
            <w:tcW w:type="dxa" w:w="2880"/>
            <w:shd w:val="clear" w:color="auto" w:fill="FFF2CC"/>
            <w:vAlign w:val="top"/>
          </w:tcPr>
          <w:p>
            <w:r>
              <w:rPr>
                <w:b/>
                <w:sz w:val="16"/>
              </w:rPr>
              <w:t xml:space="preserve">[REVISED] </w:t>
            </w:r>
            <w:r>
              <w:rPr>
                <w:sz w:val="16"/>
              </w:rPr>
              <w:t>2.4 Verification Methodology — N-Version Programming and K-Voting</w:t>
            </w:r>
          </w:p>
        </w:tc>
        <w:tc>
          <w:tcPr>
            <w:tcW w:type="dxa" w:w="5760"/>
            <w:shd w:val="clear" w:color="auto" w:fill="FFF2CC"/>
            <w:vAlign w:val="top"/>
          </w:tcPr>
          <w:p>
            <w:r>
              <w:rPr>
                <w:sz w:val="16"/>
              </w:rPr>
              <w:t>(was: 2.4 N-version programming and consensus verification)</w:t>
              <w:br/>
              <w:br/>
              <w:t>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t>
            </w:r>
          </w:p>
        </w:tc>
        <w:tc>
          <w:tcPr>
            <w:tcW w:type="dxa" w:w="5760"/>
            <w:shd w:val="clear" w:color="auto" w:fill="FFF2CC"/>
            <w:vAlign w:val="top"/>
          </w:tcPr>
          <w:p>
            <w:r>
              <w:rPr>
                <w:sz w:val="16"/>
              </w:rPr>
              <w:t>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tc>
      </w:tr>
      <w:tr>
        <w:tc>
          <w:tcPr>
            <w:tcW w:type="dxa" w:w="576"/>
            <w:shd w:val="clear" w:color="auto" w:fill="FFF2CC"/>
            <w:vAlign w:val="top"/>
          </w:tcPr>
          <w:p>
            <w:r>
              <w:rPr>
                <w:sz w:val="16"/>
              </w:rPr>
              <w:t>8</w:t>
            </w:r>
          </w:p>
        </w:tc>
        <w:tc>
          <w:tcPr>
            <w:tcW w:type="dxa" w:w="2880"/>
            <w:shd w:val="clear" w:color="auto" w:fill="FFF2CC"/>
            <w:vAlign w:val="top"/>
          </w:tcPr>
          <w:p>
            <w:r>
              <w:rPr>
                <w:b/>
                <w:sz w:val="16"/>
              </w:rPr>
              <w:t xml:space="preserve">[REVISED] </w:t>
            </w:r>
            <w:r>
              <w:rPr>
                <w:sz w:val="16"/>
              </w:rPr>
              <w:t>2.5 Korean PSM Regulation and KOSHA</w:t>
            </w:r>
          </w:p>
        </w:tc>
        <w:tc>
          <w:tcPr>
            <w:tcW w:type="dxa" w:w="5760"/>
            <w:shd w:val="clear" w:color="auto" w:fill="FFF2CC"/>
            <w:vAlign w:val="top"/>
          </w:tcPr>
          <w:p>
            <w:r>
              <w:rPr>
                <w:sz w:val="16"/>
              </w:rPr>
              <w:t>(was: 2.5 Korean PSM and KOSHA in AI)</w:t>
              <w:br/>
              <w:br/>
              <w:t>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t>
            </w:r>
          </w:p>
        </w:tc>
        <w:tc>
          <w:tcPr>
            <w:tcW w:type="dxa" w:w="5760"/>
            <w:shd w:val="clear" w:color="auto" w:fill="FFF2CC"/>
            <w:vAlign w:val="top"/>
          </w:tcPr>
          <w:p>
            <w:r>
              <w:rPr>
                <w:sz w:val="16"/>
              </w:rPr>
              <w:t>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tc>
      </w:tr>
      <w:tr>
        <w:tc>
          <w:tcPr>
            <w:tcW w:type="dxa" w:w="576"/>
            <w:shd w:val="clear" w:color="auto" w:fill="E2F0D9"/>
            <w:vAlign w:val="top"/>
          </w:tcPr>
          <w:p>
            <w:r>
              <w:rPr>
                <w:sz w:val="16"/>
              </w:rPr>
              <w:t>9</w:t>
            </w:r>
          </w:p>
        </w:tc>
        <w:tc>
          <w:tcPr>
            <w:tcW w:type="dxa" w:w="2880"/>
            <w:shd w:val="clear" w:color="auto" w:fill="E2F0D9"/>
            <w:vAlign w:val="top"/>
          </w:tcPr>
          <w:p>
            <w:r>
              <w:rPr>
                <w:b/>
                <w:sz w:val="16"/>
              </w:rPr>
              <w:t xml:space="preserve">[NEW] </w:t>
            </w:r>
            <w:r>
              <w:rPr>
                <w:sz w:val="16"/>
              </w:rPr>
              <w:t>2.6 Position relative to HAZOP, RBI, and Digital Twin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tc>
      </w:tr>
      <w:tr>
        <w:tc>
          <w:tcPr>
            <w:tcW w:type="dxa" w:w="576"/>
            <w:shd w:val="clear" w:color="auto" w:fill="FFF2CC"/>
            <w:vAlign w:val="top"/>
          </w:tcPr>
          <w:p>
            <w:r>
              <w:rPr>
                <w:sz w:val="16"/>
              </w:rPr>
              <w:t>10</w:t>
            </w:r>
          </w:p>
        </w:tc>
        <w:tc>
          <w:tcPr>
            <w:tcW w:type="dxa" w:w="2880"/>
            <w:shd w:val="clear" w:color="auto" w:fill="FFF2CC"/>
            <w:vAlign w:val="top"/>
          </w:tcPr>
          <w:p>
            <w:r>
              <w:rPr>
                <w:b/>
                <w:sz w:val="16"/>
              </w:rPr>
              <w:t xml:space="preserve">[REVISED] </w:t>
            </w:r>
            <w:r>
              <w:rPr>
                <w:sz w:val="16"/>
              </w:rPr>
              <w:t>3 System Architecture</w:t>
            </w:r>
          </w:p>
        </w:tc>
        <w:tc>
          <w:tcPr>
            <w:tcW w:type="dxa" w:w="5760"/>
            <w:shd w:val="clear" w:color="auto" w:fill="FFF2CC"/>
            <w:vAlign w:val="top"/>
          </w:tcPr>
          <w:p>
            <w:r>
              <w:rPr>
                <w:sz w:val="16"/>
              </w:rPr>
            </w:r>
          </w:p>
        </w:tc>
        <w:tc>
          <w:tcPr>
            <w:tcW w:type="dxa" w:w="5760"/>
            <w:shd w:val="clear" w:color="auto" w:fill="FFF2CC"/>
            <w:vAlign w:val="top"/>
          </w:tcPr>
          <w:p>
            <w:r>
              <w:rPr>
                <w:sz w:val="16"/>
              </w:rPr>
              <w:t>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…[truncated]</w:t>
            </w:r>
          </w:p>
        </w:tc>
      </w:tr>
      <w:tr>
        <w:tc>
          <w:tcPr>
            <w:tcW w:type="dxa" w:w="576"/>
            <w:shd w:val="clear" w:color="auto" w:fill="FFF2CC"/>
            <w:vAlign w:val="top"/>
          </w:tcPr>
          <w:p>
            <w:r>
              <w:rPr>
                <w:sz w:val="16"/>
              </w:rPr>
              <w:t>11</w:t>
            </w:r>
          </w:p>
        </w:tc>
        <w:tc>
          <w:tcPr>
            <w:tcW w:type="dxa" w:w="2880"/>
            <w:shd w:val="clear" w:color="auto" w:fill="FFF2CC"/>
            <w:vAlign w:val="top"/>
          </w:tcPr>
          <w:p>
            <w:r>
              <w:rPr>
                <w:b/>
                <w:sz w:val="16"/>
              </w:rPr>
              <w:t xml:space="preserve">[REVISED] </w:t>
            </w:r>
            <w:r>
              <w:rPr>
                <w:sz w:val="16"/>
              </w:rPr>
              <w:t>4.1 Corpus Construction</w:t>
            </w:r>
          </w:p>
        </w:tc>
        <w:tc>
          <w:tcPr>
            <w:tcW w:type="dxa" w:w="5760"/>
            <w:shd w:val="clear" w:color="auto" w:fill="FFF2CC"/>
            <w:vAlign w:val="top"/>
          </w:tcPr>
          <w:p>
            <w:r>
              <w:rPr>
                <w:sz w:val="16"/>
              </w:rPr>
              <w:t>(was: 5.1 Corpus construction)</w:t>
              <w:br/>
              <w:br/>
              <w:t>Two KOSHA public APIs were used: Smart-search API: 18,576 rows of guide-section and statutory-provision metadata across categories 1–11, covering 1,327 guide documents (9,069 sections) and 3,102 statutory provisions. Guide API: 1,039 of the 1,327 guide documents were available as downloadable PDFs; these were parsed page-by-page and segmented into 13,084 retrieval-optimised chunks. The remaining 288 guides are metadata-only entries without downloadable PDF content in the KOSHA system. After deduplication and normalisation, the SQLite FTS5 index contains 16,186 searchable rows (13,084 guide chunks from parsed PDFs + 3,102 law-article entries from the smart-search API; 200 MB total).</w:t>
            </w:r>
          </w:p>
        </w:tc>
        <w:tc>
          <w:tcPr>
            <w:tcW w:type="dxa" w:w="5760"/>
            <w:shd w:val="clear" w:color="auto" w:fill="FFF2CC"/>
            <w:vAlign w:val="top"/>
          </w:tcPr>
          <w:p>
            <w:r>
              <w:rPr>
                <w:sz w:val="16"/>
              </w:rPr>
              <w:t>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…[truncated]</w:t>
            </w:r>
          </w:p>
        </w:tc>
      </w:tr>
      <w:tr>
        <w:tc>
          <w:tcPr>
            <w:tcW w:type="dxa" w:w="576"/>
            <w:shd w:val="clear" w:color="auto" w:fill="FFF2CC"/>
            <w:vAlign w:val="top"/>
          </w:tcPr>
          <w:p>
            <w:r>
              <w:rPr>
                <w:sz w:val="16"/>
              </w:rPr>
              <w:t>12</w:t>
            </w:r>
          </w:p>
        </w:tc>
        <w:tc>
          <w:tcPr>
            <w:tcW w:type="dxa" w:w="2880"/>
            <w:shd w:val="clear" w:color="auto" w:fill="FFF2CC"/>
            <w:vAlign w:val="top"/>
          </w:tcPr>
          <w:p>
            <w:r>
              <w:rPr>
                <w:b/>
                <w:sz w:val="16"/>
              </w:rPr>
              <w:t xml:space="preserve">[REVISED] </w:t>
            </w:r>
            <w:r>
              <w:rPr>
                <w:sz w:val="16"/>
              </w:rPr>
              <w:t>4.2 Retrieval and Generation Pipeline</w:t>
            </w:r>
          </w:p>
        </w:tc>
        <w:tc>
          <w:tcPr>
            <w:tcW w:type="dxa" w:w="5760"/>
            <w:shd w:val="clear" w:color="auto" w:fill="FFF2CC"/>
            <w:vAlign w:val="top"/>
          </w:tcPr>
          <w:p>
            <w:r>
              <w:rPr>
                <w:sz w:val="16"/>
              </w:rPr>
              <w:t>(was: 5.3 Generation pipeline)</w:t>
              <w:br/>
              <w:br/>
              <w:t>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t>
            </w:r>
          </w:p>
        </w:tc>
        <w:tc>
          <w:tcPr>
            <w:tcW w:type="dxa" w:w="5760"/>
            <w:shd w:val="clear" w:color="auto" w:fill="FFF2CC"/>
            <w:vAlign w:val="top"/>
          </w:tcPr>
          <w:p>
            <w:r>
              <w:rPr>
                <w:sz w:val="16"/>
              </w:rPr>
              <w:t>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 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…[truncated]</w:t>
            </w:r>
          </w:p>
        </w:tc>
      </w:tr>
      <w:tr>
        <w:tc>
          <w:tcPr>
            <w:tcW w:type="dxa" w:w="576"/>
            <w:shd w:val="clear" w:color="auto" w:fill="E2F0D9"/>
            <w:vAlign w:val="top"/>
          </w:tcPr>
          <w:p>
            <w:r>
              <w:rPr>
                <w:sz w:val="16"/>
              </w:rPr>
              <w:t>13</w:t>
            </w:r>
          </w:p>
        </w:tc>
        <w:tc>
          <w:tcPr>
            <w:tcW w:type="dxa" w:w="2880"/>
            <w:shd w:val="clear" w:color="auto" w:fill="E2F0D9"/>
            <w:vAlign w:val="top"/>
          </w:tcPr>
          <w:p>
            <w:r>
              <w:rPr>
                <w:b/>
                <w:sz w:val="16"/>
              </w:rPr>
              <w:t xml:space="preserve">[NEW] </w:t>
            </w:r>
            <w:r>
              <w:rPr>
                <w:sz w:val="16"/>
              </w:rPr>
              <w:t>4.3 KOSHA Regulatory Grounding — Mandatory vs Guidance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KOSHA-derived obligations differ in legal force. We distinguish two categories throughout this paper: 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 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 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p>
        </w:tc>
      </w:tr>
      <w:tr>
        <w:tc>
          <w:tcPr>
            <w:tcW w:type="dxa" w:w="576"/>
            <w:shd w:val="clear" w:color="auto" w:fill="E2F0D9"/>
            <w:vAlign w:val="top"/>
          </w:tcPr>
          <w:p>
            <w:r>
              <w:rPr>
                <w:sz w:val="16"/>
              </w:rPr>
              <w:t>14</w:t>
            </w:r>
          </w:p>
        </w:tc>
        <w:tc>
          <w:tcPr>
            <w:tcW w:type="dxa" w:w="2880"/>
            <w:shd w:val="clear" w:color="auto" w:fill="E2F0D9"/>
            <w:vAlign w:val="top"/>
          </w:tcPr>
          <w:p>
            <w:r>
              <w:rPr>
                <w:b/>
                <w:sz w:val="16"/>
              </w:rPr>
              <w:t xml:space="preserve">[NEW] </w:t>
            </w:r>
            <w:r>
              <w:rPr>
                <w:sz w:val="16"/>
              </w:rPr>
              <w:t>4.4 Why standard EPC workflows do not cover these obligations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tc>
      </w:tr>
      <w:tr>
        <w:tc>
          <w:tcPr>
            <w:tcW w:type="dxa" w:w="576"/>
            <w:shd w:val="clear" w:color="auto" w:fill="FFF2CC"/>
            <w:vAlign w:val="top"/>
          </w:tcPr>
          <w:p>
            <w:r>
              <w:rPr>
                <w:sz w:val="16"/>
              </w:rPr>
              <w:t>15</w:t>
            </w:r>
          </w:p>
        </w:tc>
        <w:tc>
          <w:tcPr>
            <w:tcW w:type="dxa" w:w="2880"/>
            <w:shd w:val="clear" w:color="auto" w:fill="FFF2CC"/>
            <w:vAlign w:val="top"/>
          </w:tcPr>
          <w:p>
            <w:r>
              <w:rPr>
                <w:b/>
                <w:sz w:val="16"/>
              </w:rPr>
              <w:t xml:space="preserve">[REVISED] </w:t>
            </w:r>
            <w:r>
              <w:rPr>
                <w:sz w:val="16"/>
              </w:rPr>
              <w:t>5 Seven-Domain Calculation Engines and Four-Layer Verification</w:t>
            </w:r>
          </w:p>
        </w:tc>
        <w:tc>
          <w:tcPr>
            <w:tcW w:type="dxa" w:w="5760"/>
            <w:shd w:val="clear" w:color="auto" w:fill="FFF2CC"/>
            <w:vAlign w:val="top"/>
          </w:tcPr>
          <w:p>
            <w:r>
              <w:rPr>
                <w:sz w:val="16"/>
              </w:rPr>
              <w:t>(was: 2.1 Expert systems for engineering verification)</w:t>
              <w:br/>
              <w:br/>
              <w:t>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t>
            </w:r>
          </w:p>
        </w:tc>
        <w:tc>
          <w:tcPr>
            <w:tcW w:type="dxa" w:w="5760"/>
            <w:shd w:val="clear" w:color="auto" w:fill="FFF2CC"/>
            <w:vAlign w:val="top"/>
          </w:tcPr>
          <w:p>
            <w:r>
              <w:rPr>
                <w:sz w:val="16"/>
              </w:rPr>
            </w:r>
          </w:p>
        </w:tc>
      </w:tr>
      <w:tr>
        <w:tc>
          <w:tcPr>
            <w:tcW w:type="dxa" w:w="576"/>
            <w:shd w:val="clear" w:color="auto" w:fill="FFF2CC"/>
            <w:vAlign w:val="top"/>
          </w:tcPr>
          <w:p>
            <w:r>
              <w:rPr>
                <w:sz w:val="16"/>
              </w:rPr>
              <w:t>16</w:t>
            </w:r>
          </w:p>
        </w:tc>
        <w:tc>
          <w:tcPr>
            <w:tcW w:type="dxa" w:w="2880"/>
            <w:shd w:val="clear" w:color="auto" w:fill="FFF2CC"/>
            <w:vAlign w:val="top"/>
          </w:tcPr>
          <w:p>
            <w:r>
              <w:rPr>
                <w:b/>
                <w:sz w:val="16"/>
              </w:rPr>
              <w:t xml:space="preserve">[REVISED] </w:t>
            </w:r>
            <w:r>
              <w:rPr>
                <w:sz w:val="16"/>
              </w:rPr>
              <w:t>5.1 Domain Calculation Engines</w:t>
            </w:r>
          </w:p>
        </w:tc>
        <w:tc>
          <w:tcPr>
            <w:tcW w:type="dxa" w:w="5760"/>
            <w:shd w:val="clear" w:color="auto" w:fill="FFF2CC"/>
            <w:vAlign w:val="top"/>
          </w:tcPr>
          <w:p>
            <w:r>
              <w:rPr>
                <w:sz w:val="16"/>
              </w:rPr>
              <w:t>(was: 4.2 Domain engines)</w:t>
              <w:br/>
              <w:br/>
            </w:r>
          </w:p>
        </w:tc>
        <w:tc>
          <w:tcPr>
            <w:tcW w:type="dxa" w:w="5760"/>
            <w:shd w:val="clear" w:color="auto" w:fill="FFF2CC"/>
            <w:vAlign w:val="top"/>
          </w:tcPr>
          <w:p>
            <w:r>
              <w:rPr>
                <w:sz w:val="16"/>
              </w:rPr>
              <w:t>The seven domain calculation engines implement the standards listed in Table 1. Engine source files are under src/services/&lt;discipline&gt;_service.py; per-engine standard mappings and citation tables are in src/standards/. Table 1. Domain Calculation Engines and Standards 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p>
        </w:tc>
      </w:tr>
      <w:tr>
        <w:tc>
          <w:tcPr>
            <w:tcW w:type="dxa" w:w="576"/>
            <w:shd w:val="clear" w:color="auto" w:fill="FFF2CC"/>
            <w:vAlign w:val="top"/>
          </w:tcPr>
          <w:p>
            <w:r>
              <w:rPr>
                <w:sz w:val="16"/>
              </w:rPr>
              <w:t>17</w:t>
            </w:r>
          </w:p>
        </w:tc>
        <w:tc>
          <w:tcPr>
            <w:tcW w:type="dxa" w:w="2880"/>
            <w:shd w:val="clear" w:color="auto" w:fill="FFF2CC"/>
            <w:vAlign w:val="top"/>
          </w:tcPr>
          <w:p>
            <w:r>
              <w:rPr>
                <w:b/>
                <w:sz w:val="16"/>
              </w:rPr>
              <w:t xml:space="preserve">[REVISED] </w:t>
            </w:r>
            <w:r>
              <w:rPr>
                <w:sz w:val="16"/>
              </w:rPr>
              <w:t>5.2 Four-Layer Hybrid Verification Model</w:t>
            </w:r>
          </w:p>
        </w:tc>
        <w:tc>
          <w:tcPr>
            <w:tcW w:type="dxa" w:w="5760"/>
            <w:shd w:val="clear" w:color="auto" w:fill="FFF2CC"/>
            <w:vAlign w:val="top"/>
          </w:tcPr>
          <w:p>
            <w:r>
              <w:rPr>
                <w:sz w:val="16"/>
              </w:rPr>
            </w:r>
          </w:p>
        </w:tc>
        <w:tc>
          <w:tcPr>
            <w:tcW w:type="dxa" w:w="5760"/>
            <w:shd w:val="clear" w:color="auto" w:fill="FFF2CC"/>
            <w:vAlign w:val="top"/>
          </w:tcPr>
          <w:p>
            <w:r>
              <w:rPr>
                <w:sz w:val="16"/>
              </w:rPr>
              <w:t>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 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 Layer 3 — Physics and Code Compliance. Domain-specific red flags are enforced. For example, a measured thickness below the computed minimum required thickness raises a critical …[truncated]</w:t>
            </w:r>
          </w:p>
        </w:tc>
      </w:tr>
      <w:tr>
        <w:tc>
          <w:tcPr>
            <w:tcW w:type="dxa" w:w="576"/>
            <w:shd w:val="clear" w:color="auto" w:fill="FFF2CC"/>
            <w:vAlign w:val="top"/>
          </w:tcPr>
          <w:p>
            <w:r>
              <w:rPr>
                <w:sz w:val="16"/>
              </w:rPr>
              <w:t>18</w:t>
            </w:r>
          </w:p>
        </w:tc>
        <w:tc>
          <w:tcPr>
            <w:tcW w:type="dxa" w:w="2880"/>
            <w:shd w:val="clear" w:color="auto" w:fill="FFF2CC"/>
            <w:vAlign w:val="top"/>
          </w:tcPr>
          <w:p>
            <w:r>
              <w:rPr>
                <w:b/>
                <w:sz w:val="16"/>
              </w:rPr>
              <w:t xml:space="preserve">[REVISED] </w:t>
            </w:r>
            <w:r>
              <w:rPr>
                <w:sz w:val="16"/>
              </w:rPr>
              <w:t>5.3 Cross-Discipline Consistency Validator</w:t>
            </w:r>
          </w:p>
        </w:tc>
        <w:tc>
          <w:tcPr>
            <w:tcW w:type="dxa" w:w="5760"/>
            <w:shd w:val="clear" w:color="auto" w:fill="FFF2CC"/>
            <w:vAlign w:val="top"/>
          </w:tcPr>
          <w:p>
            <w:r>
              <w:rPr>
                <w:sz w:val="16"/>
              </w:rPr>
              <w:t>(was: 6.5 Cross-discipline coupling validator)</w:t>
              <w:br/>
              <w:br/>
              <w:t>Ten predefined domain pairs with coupling checks: Threshold tuning over 50 optimisation rounds achieved: standard-case blocking rate 0.0 (no false positives on nominal cases), boundary/failure blocking rate 1.0, weighted accuracy 1.0, and hard-block recall 1.0.</w:t>
            </w:r>
          </w:p>
        </w:tc>
        <w:tc>
          <w:tcPr>
            <w:tcW w:type="dxa" w:w="5760"/>
            <w:shd w:val="clear" w:color="auto" w:fill="FFF2CC"/>
            <w:vAlign w:val="top"/>
          </w:tcPr>
          <w:p>
            <w:r>
              <w:rPr>
                <w:sz w:val="16"/>
              </w:rPr>
              <w:t>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 Figure 3. Cross-discipline coupling logic: ten predefined domain pairs (piping-vessel, electrical-rotating, civil-rotating, instrumentation-electrical, etc.), trigger conditions, and downstream effect of a coupling-block decision on the orchestration pipeline.</w:t>
            </w:r>
          </w:p>
        </w:tc>
      </w:tr>
      <w:tr>
        <w:tc>
          <w:tcPr>
            <w:tcW w:type="dxa" w:w="576"/>
            <w:shd w:val="clear" w:color="auto" w:fill="E2F0D9"/>
            <w:vAlign w:val="top"/>
          </w:tcPr>
          <w:p>
            <w:r>
              <w:rPr>
                <w:sz w:val="16"/>
              </w:rPr>
              <w:t>19</w:t>
            </w:r>
          </w:p>
        </w:tc>
        <w:tc>
          <w:tcPr>
            <w:tcW w:type="dxa" w:w="2880"/>
            <w:shd w:val="clear" w:color="auto" w:fill="E2F0D9"/>
            <w:vAlign w:val="top"/>
          </w:tcPr>
          <w:p>
            <w:r>
              <w:rPr>
                <w:b/>
                <w:sz w:val="16"/>
              </w:rPr>
              <w:t xml:space="preserve">[NEW] </w:t>
            </w:r>
            <w:r>
              <w:rPr>
                <w:sz w:val="16"/>
              </w:rPr>
              <w:t>5.4 Why three paths and a 1% tolerance? — K-voting design rationale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Three K-voting design choices warrant explicit justification: the number of paths, the tolerance, and the scope of independence. 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 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 …[truncated]</w:t>
            </w:r>
          </w:p>
        </w:tc>
      </w:tr>
      <w:tr>
        <w:tc>
          <w:tcPr>
            <w:tcW w:type="dxa" w:w="576"/>
            <w:shd w:val="clear" w:color="auto" w:fill="FFF2CC"/>
            <w:vAlign w:val="top"/>
          </w:tcPr>
          <w:p>
            <w:r>
              <w:rPr>
                <w:sz w:val="16"/>
              </w:rPr>
              <w:t>20</w:t>
            </w:r>
          </w:p>
        </w:tc>
        <w:tc>
          <w:tcPr>
            <w:tcW w:type="dxa" w:w="2880"/>
            <w:shd w:val="clear" w:color="auto" w:fill="FFF2CC"/>
            <w:vAlign w:val="top"/>
          </w:tcPr>
          <w:p>
            <w:r>
              <w:rPr>
                <w:b/>
                <w:sz w:val="16"/>
              </w:rPr>
              <w:t xml:space="preserve">[REVISED] </w:t>
            </w:r>
            <w:r>
              <w:rPr>
                <w:sz w:val="16"/>
              </w:rPr>
              <w:t>6 Experiments and Evaluation</w:t>
            </w:r>
          </w:p>
        </w:tc>
        <w:tc>
          <w:tcPr>
            <w:tcW w:type="dxa" w:w="5760"/>
            <w:shd w:val="clear" w:color="auto" w:fill="FFF2CC"/>
            <w:vAlign w:val="top"/>
          </w:tcPr>
          <w:p>
            <w:r>
              <w:rPr>
                <w:sz w:val="16"/>
              </w:rPr>
            </w:r>
          </w:p>
        </w:tc>
        <w:tc>
          <w:tcPr>
            <w:tcW w:type="dxa" w:w="5760"/>
            <w:shd w:val="clear" w:color="auto" w:fill="FFF2CC"/>
            <w:vAlign w:val="top"/>
          </w:tcPr>
          <w:p>
            <w:r>
              <w:rPr>
                <w:sz w:val="16"/>
              </w:rPr>
              <w:t>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p>
        </w:tc>
      </w:tr>
      <w:tr>
        <w:tc>
          <w:tcPr>
            <w:tcW w:type="dxa" w:w="576"/>
            <w:shd w:val="clear" w:color="auto" w:fill="FFF2CC"/>
            <w:vAlign w:val="top"/>
          </w:tcPr>
          <w:p>
            <w:r>
              <w:rPr>
                <w:sz w:val="16"/>
              </w:rPr>
              <w:t>21</w:t>
            </w:r>
          </w:p>
        </w:tc>
        <w:tc>
          <w:tcPr>
            <w:tcW w:type="dxa" w:w="2880"/>
            <w:shd w:val="clear" w:color="auto" w:fill="FFF2CC"/>
            <w:vAlign w:val="top"/>
          </w:tcPr>
          <w:p>
            <w:r>
              <w:rPr>
                <w:b/>
                <w:sz w:val="16"/>
              </w:rPr>
              <w:t xml:space="preserve">[REVISED] </w:t>
            </w:r>
            <w:r>
              <w:rPr>
                <w:sz w:val="16"/>
              </w:rPr>
              <w:t>6.1 Calculation Accuracy on the Golden Dataset (implementation verification)</w:t>
            </w:r>
          </w:p>
        </w:tc>
        <w:tc>
          <w:tcPr>
            <w:tcW w:type="dxa" w:w="5760"/>
            <w:shd w:val="clear" w:color="auto" w:fill="FFF2CC"/>
            <w:vAlign w:val="top"/>
          </w:tcPr>
          <w:p>
            <w:r>
              <w:rPr>
                <w:sz w:val="16"/>
              </w:rPr>
              <w:t>(was: 6.4 Layer 4 — Reverse verification)</w:t>
              <w:br/>
              <w:br/>
              <w:t>Key inputs are back-calculated from outputs and compared against originals: - Deviation &lt; 2%: consistent (pass). - Deviation 2–5%: warning with audit note. - Deviation &gt; 5%: escalation with confidence downgrade. This layer detects internal inconsistencies that may indicate formula errors, unit conversion mistakes, or data corruption.</w:t>
            </w:r>
          </w:p>
        </w:tc>
        <w:tc>
          <w:tcPr>
            <w:tcW w:type="dxa" w:w="5760"/>
            <w:shd w:val="clear" w:color="auto" w:fill="FFF2CC"/>
            <w:vAlign w:val="top"/>
          </w:tcPr>
          <w:p>
            <w:r>
              <w:rPr>
                <w:sz w:val="16"/>
              </w:rPr>
              <w:t>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 We deliberately frame these results as implementation verification, not predictive validation, in the sense developed in recent methodological discussions of …[truncated]</w:t>
            </w:r>
          </w:p>
        </w:tc>
      </w:tr>
      <w:tr>
        <w:tc>
          <w:tcPr>
            <w:tcW w:type="dxa" w:w="576"/>
            <w:shd w:val="clear" w:color="auto" w:fill="FFF2CC"/>
            <w:vAlign w:val="top"/>
          </w:tcPr>
          <w:p>
            <w:r>
              <w:rPr>
                <w:sz w:val="16"/>
              </w:rPr>
              <w:t>22</w:t>
            </w:r>
          </w:p>
        </w:tc>
        <w:tc>
          <w:tcPr>
            <w:tcW w:type="dxa" w:w="2880"/>
            <w:shd w:val="clear" w:color="auto" w:fill="FFF2CC"/>
            <w:vAlign w:val="top"/>
          </w:tcPr>
          <w:p>
            <w:r>
              <w:rPr>
                <w:b/>
                <w:sz w:val="16"/>
              </w:rPr>
              <w:t xml:space="preserve">[REVISED] </w:t>
            </w:r>
            <w:r>
              <w:rPr>
                <w:sz w:val="16"/>
              </w:rPr>
              <w:t>6.2 Seven-Discipline Pipeline Evaluation</w:t>
            </w:r>
          </w:p>
        </w:tc>
        <w:tc>
          <w:tcPr>
            <w:tcW w:type="dxa" w:w="5760"/>
            <w:shd w:val="clear" w:color="auto" w:fill="FFF2CC"/>
            <w:vAlign w:val="top"/>
          </w:tcPr>
          <w:p>
            <w:r>
              <w:rPr>
                <w:sz w:val="16"/>
              </w:rPr>
              <w:t>(was: 7.2 Seven-discipline pipeline)</w:t>
              <w:br/>
              <w:br/>
              <w:t>Across 43 pipeline scenarios: completion rate 0.6512, blocking rate 0.3488. Nominal and standard-aligned cases: 1.0000 completion. Boundary and failure cases: 1.0000 blocking. This confirms correct hazard identification without false positives on clean inputs.</w:t>
            </w:r>
          </w:p>
        </w:tc>
        <w:tc>
          <w:tcPr>
            <w:tcW w:type="dxa" w:w="5760"/>
            <w:shd w:val="clear" w:color="auto" w:fill="FFF2CC"/>
            <w:vAlign w:val="top"/>
          </w:tcPr>
          <w:p>
            <w:r>
              <w:rPr>
                <w:sz w:val="16"/>
              </w:rPr>
              <w:t>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p>
        </w:tc>
      </w:tr>
      <w:tr>
        <w:tc>
          <w:tcPr>
            <w:tcW w:type="dxa" w:w="576"/>
            <w:shd w:val="clear" w:color="auto" w:fill="FFF2CC"/>
            <w:vAlign w:val="top"/>
          </w:tcPr>
          <w:p>
            <w:r>
              <w:rPr>
                <w:sz w:val="16"/>
              </w:rPr>
              <w:t>23</w:t>
            </w:r>
          </w:p>
        </w:tc>
        <w:tc>
          <w:tcPr>
            <w:tcW w:type="dxa" w:w="2880"/>
            <w:shd w:val="clear" w:color="auto" w:fill="FFF2CC"/>
            <w:vAlign w:val="top"/>
          </w:tcPr>
          <w:p>
            <w:r>
              <w:rPr>
                <w:b/>
                <w:sz w:val="16"/>
              </w:rPr>
              <w:t xml:space="preserve">[REVISED] </w:t>
            </w:r>
            <w:r>
              <w:rPr>
                <w:sz w:val="16"/>
              </w:rPr>
              <w:t>6.3 Cross-Discipline Validator Ablation (RQ1)</w:t>
            </w:r>
          </w:p>
        </w:tc>
        <w:tc>
          <w:tcPr>
            <w:tcW w:type="dxa" w:w="5760"/>
            <w:shd w:val="clear" w:color="auto" w:fill="FFF2CC"/>
            <w:vAlign w:val="top"/>
          </w:tcPr>
          <w:p>
            <w:r>
              <w:rPr>
                <w:sz w:val="16"/>
              </w:rPr>
              <w:t>(was: 7.3 Cross-discipline validator ablation (RQ1))</w:t>
              <w:br/>
              <w:br/>
              <w:t>Finding (RQ1): Cross-discipline validation adds 25 blocked scenarios (+41.7%) that single-domain calculations cannot detect. Boundary and failure subsets achieve perfect blocking (1.0). Zero false positives on standard-aligned cases. 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t>
            </w:r>
          </w:p>
        </w:tc>
        <w:tc>
          <w:tcPr>
            <w:tcW w:type="dxa" w:w="5760"/>
            <w:shd w:val="clear" w:color="auto" w:fill="FFF2CC"/>
            <w:vAlign w:val="top"/>
          </w:tcPr>
          <w:p>
            <w:r>
              <w:rPr>
                <w:sz w:val="16"/>
              </w:rPr>
              <w:t>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 Table 3. Cross-Discipline Validator Ablation (RQ1) Figure 4. Cross-discipline ablation (60 scenarios): blocked counts by scenario set, validator OFF vs ON. Total rises 0 → 26 (+43.3%); aligned-boundary and aligned-failure subsets rise from 0/n to n/n; mixed sets show partial coverage proportional to coupling density. Significance of detections. Per-failure-mode partition of the 26 blocked scenarios (outputs/ablation_failure_mode_partition.md, computed by scripts/dump_ablation_hits.py): Detections concentrate in the piping-vessel …[truncated]</w:t>
            </w:r>
          </w:p>
        </w:tc>
      </w:tr>
      <w:tr>
        <w:tc>
          <w:tcPr>
            <w:tcW w:type="dxa" w:w="576"/>
            <w:shd w:val="clear" w:color="auto" w:fill="FFF2CC"/>
            <w:vAlign w:val="top"/>
          </w:tcPr>
          <w:p>
            <w:r>
              <w:rPr>
                <w:sz w:val="16"/>
              </w:rPr>
              <w:t>24</w:t>
            </w:r>
          </w:p>
        </w:tc>
        <w:tc>
          <w:tcPr>
            <w:tcW w:type="dxa" w:w="2880"/>
            <w:shd w:val="clear" w:color="auto" w:fill="FFF2CC"/>
            <w:vAlign w:val="top"/>
          </w:tcPr>
          <w:p>
            <w:r>
              <w:rPr>
                <w:b/>
                <w:sz w:val="16"/>
              </w:rPr>
              <w:t xml:space="preserve">[REVISED] </w:t>
            </w:r>
            <w:r>
              <w:rPr>
                <w:sz w:val="16"/>
              </w:rPr>
              <w:t>6.4 KOSHA RAG Regulatory Grounding — Three Cases (RQ2)</w:t>
            </w:r>
          </w:p>
        </w:tc>
        <w:tc>
          <w:tcPr>
            <w:tcW w:type="dxa" w:w="5760"/>
            <w:shd w:val="clear" w:color="auto" w:fill="FFF2CC"/>
            <w:vAlign w:val="top"/>
          </w:tcPr>
          <w:p>
            <w:r>
              <w:rPr>
                <w:sz w:val="16"/>
              </w:rPr>
              <w:t>(was: 7.4 KOSHA RAG retrieval benchmark (RQ2))</w:t>
              <w:br/>
              <w:br/>
              <w:t>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 Concept-aware synonym expansion yields +68% relative improvement in Recall@1 and +38% relative improvement in MRR@10.</w:t>
            </w:r>
          </w:p>
        </w:tc>
        <w:tc>
          <w:tcPr>
            <w:tcW w:type="dxa" w:w="5760"/>
            <w:shd w:val="clear" w:color="auto" w:fill="FFF2CC"/>
            <w:vAlign w:val="top"/>
          </w:tcPr>
          <w:p>
            <w:r>
              <w:rPr>
                <w:sz w:val="16"/>
              </w:rPr>
              <w:t>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tc>
      </w:tr>
      <w:tr>
        <w:tc>
          <w:tcPr>
            <w:tcW w:type="dxa" w:w="576"/>
            <w:shd w:val="clear" w:color="auto" w:fill="E2F0D9"/>
            <w:vAlign w:val="top"/>
          </w:tcPr>
          <w:p>
            <w:r>
              <w:rPr>
                <w:sz w:val="16"/>
              </w:rPr>
              <w:t>25</w:t>
            </w:r>
          </w:p>
        </w:tc>
        <w:tc>
          <w:tcPr>
            <w:tcW w:type="dxa" w:w="2880"/>
            <w:shd w:val="clear" w:color="auto" w:fill="E2F0D9"/>
            <w:vAlign w:val="top"/>
          </w:tcPr>
          <w:p>
            <w:r>
              <w:rPr>
                <w:b/>
                <w:sz w:val="16"/>
              </w:rPr>
              <w:t xml:space="preserve">[NEW] </w:t>
            </w:r>
            <w:r>
              <w:rPr>
                <w:sz w:val="16"/>
              </w:rPr>
              <w:t>Case 1 — Vessel Remaining Life (VES-GOLD-001)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p>
        </w:tc>
      </w:tr>
      <w:tr>
        <w:tc>
          <w:tcPr>
            <w:tcW w:type="dxa" w:w="576"/>
            <w:shd w:val="clear" w:color="auto" w:fill="E2F0D9"/>
            <w:vAlign w:val="top"/>
          </w:tcPr>
          <w:p>
            <w:r>
              <w:rPr>
                <w:sz w:val="16"/>
              </w:rPr>
              <w:t>26</w:t>
            </w:r>
          </w:p>
        </w:tc>
        <w:tc>
          <w:tcPr>
            <w:tcW w:type="dxa" w:w="2880"/>
            <w:shd w:val="clear" w:color="auto" w:fill="E2F0D9"/>
            <w:vAlign w:val="top"/>
          </w:tcPr>
          <w:p>
            <w:r>
              <w:rPr>
                <w:b/>
                <w:sz w:val="16"/>
              </w:rPr>
              <w:t xml:space="preserve">[NEW] </w:t>
            </w:r>
            <w:r>
              <w:rPr>
                <w:sz w:val="16"/>
              </w:rPr>
              <w:t>Case 2 — RBI Planning (VES-GOLD-009)</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p>
        </w:tc>
      </w:tr>
      <w:tr>
        <w:tc>
          <w:tcPr>
            <w:tcW w:type="dxa" w:w="576"/>
            <w:shd w:val="clear" w:color="auto" w:fill="FFF2CC"/>
            <w:vAlign w:val="top"/>
          </w:tcPr>
          <w:p>
            <w:r>
              <w:rPr>
                <w:sz w:val="16"/>
              </w:rPr>
              <w:t>27</w:t>
            </w:r>
          </w:p>
        </w:tc>
        <w:tc>
          <w:tcPr>
            <w:tcW w:type="dxa" w:w="2880"/>
            <w:shd w:val="clear" w:color="auto" w:fill="FFF2CC"/>
            <w:vAlign w:val="top"/>
          </w:tcPr>
          <w:p>
            <w:r>
              <w:rPr>
                <w:b/>
                <w:sz w:val="16"/>
              </w:rPr>
              <w:t xml:space="preserve">[REVISED] </w:t>
            </w:r>
            <w:r>
              <w:rPr>
                <w:sz w:val="16"/>
              </w:rPr>
              <w:t>Case 3 — Piping Corrosion Compliance (PIP-GOLD-047)</w:t>
            </w:r>
          </w:p>
        </w:tc>
        <w:tc>
          <w:tcPr>
            <w:tcW w:type="dxa" w:w="5760"/>
            <w:shd w:val="clear" w:color="auto" w:fill="FFF2CC"/>
            <w:vAlign w:val="top"/>
          </w:tcPr>
          <w:p>
            <w:r>
              <w:rPr>
                <w:sz w:val="16"/>
              </w:rPr>
              <w:t>(was: 3 The Jurisdiction Compliance Gap)</w:t>
              <w:br/>
              <w:br/>
            </w:r>
          </w:p>
        </w:tc>
        <w:tc>
          <w:tcPr>
            <w:tcW w:type="dxa" w:w="5760"/>
            <w:shd w:val="clear" w:color="auto" w:fill="FFF2CC"/>
            <w:vAlign w:val="top"/>
          </w:tcPr>
          <w:p>
            <w:r>
              <w:rPr>
                <w:sz w:val="16"/>
              </w:rPr>
              <w:t>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 Article 256 reads (verbatim, with the Korean original preserved): 제256조(부식 방지) 사업주는 부식성 액체에 의하여 부식될 우려가 있는 부분의 부식을 방지하기 위하여 보온재로 피복하는 등 부식을 방지하기 위한 조치를 하여야 한다. English working translation: Article 256 (Corrosion Prevention). The employer shall take measures to prevent corrosion — including, but not limited to, application of insulation/coating — at parts liable to corrosion by corrosive liquids. 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 The provision is mandatory under the Act. The linkage …[truncated]</w:t>
            </w:r>
          </w:p>
        </w:tc>
      </w:tr>
      <w:tr>
        <w:tc>
          <w:tcPr>
            <w:tcW w:type="dxa" w:w="576"/>
            <w:shd w:val="clear" w:color="auto" w:fill="FFF2CC"/>
            <w:vAlign w:val="top"/>
          </w:tcPr>
          <w:p>
            <w:r>
              <w:rPr>
                <w:sz w:val="16"/>
              </w:rPr>
              <w:t>28</w:t>
            </w:r>
          </w:p>
        </w:tc>
        <w:tc>
          <w:tcPr>
            <w:tcW w:type="dxa" w:w="2880"/>
            <w:shd w:val="clear" w:color="auto" w:fill="FFF2CC"/>
            <w:vAlign w:val="top"/>
          </w:tcPr>
          <w:p>
            <w:r>
              <w:rPr>
                <w:b/>
                <w:sz w:val="16"/>
              </w:rPr>
              <w:t xml:space="preserve">[REVISED] </w:t>
            </w:r>
            <w:r>
              <w:rPr>
                <w:sz w:val="16"/>
              </w:rPr>
              <w:t>6.5 Curated Retrieval Benchmark (RQ2)</w:t>
            </w:r>
          </w:p>
        </w:tc>
        <w:tc>
          <w:tcPr>
            <w:tcW w:type="dxa" w:w="5760"/>
            <w:shd w:val="clear" w:color="auto" w:fill="FFF2CC"/>
            <w:vAlign w:val="top"/>
          </w:tcPr>
          <w:p>
            <w:r>
              <w:rPr>
                <w:sz w:val="16"/>
              </w:rPr>
              <w:t>(was: 5.2 Retrieval pipeline)</w:t>
              <w:br/>
              <w:br/>
              <w:t>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t>
            </w:r>
          </w:p>
        </w:tc>
        <w:tc>
          <w:tcPr>
            <w:tcW w:type="dxa" w:w="5760"/>
            <w:shd w:val="clear" w:color="auto" w:fill="FFF2CC"/>
            <w:vAlign w:val="top"/>
          </w:tcPr>
          <w:p>
            <w:r>
              <w:rPr>
                <w:sz w:val="16"/>
              </w:rPr>
              <w:t>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 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…[truncated]</w:t>
            </w:r>
          </w:p>
        </w:tc>
      </w:tr>
      <w:tr>
        <w:tc>
          <w:tcPr>
            <w:tcW w:type="dxa" w:w="576"/>
            <w:shd w:val="clear" w:color="auto" w:fill="FFF2CC"/>
            <w:vAlign w:val="top"/>
          </w:tcPr>
          <w:p>
            <w:r>
              <w:rPr>
                <w:sz w:val="16"/>
              </w:rPr>
              <w:t>29</w:t>
            </w:r>
          </w:p>
        </w:tc>
        <w:tc>
          <w:tcPr>
            <w:tcW w:type="dxa" w:w="2880"/>
            <w:shd w:val="clear" w:color="auto" w:fill="FFF2CC"/>
            <w:vAlign w:val="top"/>
          </w:tcPr>
          <w:p>
            <w:r>
              <w:rPr>
                <w:b/>
                <w:sz w:val="16"/>
              </w:rPr>
              <w:t xml:space="preserve">[REVISED] </w:t>
            </w:r>
            <w:r>
              <w:rPr>
                <w:sz w:val="16"/>
              </w:rPr>
              <w:t>6.6 Industry-Baseline Comparison and Internal Ablation</w:t>
            </w:r>
          </w:p>
        </w:tc>
        <w:tc>
          <w:tcPr>
            <w:tcW w:type="dxa" w:w="5760"/>
            <w:shd w:val="clear" w:color="auto" w:fill="FFF2CC"/>
            <w:vAlign w:val="top"/>
          </w:tcPr>
          <w:p>
            <w:r>
              <w:rPr>
                <w:sz w:val="16"/>
              </w:rPr>
              <w:t>(was: 1.2 Scope and contributions)</w:t>
              <w:br/>
              <w:br/>
              <w:t>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 The four contributions are: Jurisdiction compliance gap concept. We define, operationalise, and illustrate this concept with three case studies spanning pressure vessels and piping in Korean jurisdiction. Regulatory RAG for KOSHA integration. To our knowledge, we construct the first regulatory corpus from KOSHA public APIs (16,186 indexed rows from 1,327 guides and 3,102 statutory provisions) and show its feasibility for detecting jurisdiction-specific obligations invisible to …[truncated]</w:t>
            </w:r>
          </w:p>
        </w:tc>
        <w:tc>
          <w:tcPr>
            <w:tcW w:type="dxa" w:w="5760"/>
            <w:shd w:val="clear" w:color="auto" w:fill="FFF2CC"/>
            <w:vAlign w:val="top"/>
          </w:tcPr>
          <w:p>
            <w:r>
              <w:rPr>
                <w:sz w:val="16"/>
              </w:rPr>
              <w:t>An effective comparison against existing methods is essential. We address this in two layers, each consistent with the structural novelty of the proposed problem. 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 Table 7. Industry-Baseline (“ASME/API pass = compliance complete”) vs Regulatory RAG Layer B — Internal four-layer ablation. Beyond the validator-on/off ablation of §6.3, we report the incremental detection contribution of each system layer in Table 7b. Table 7b. Internal Ablation by System Layer (3 case set + 60 ablation set) All four rows of Table 7b are computed by scripts/run_layer_ablation.py (outputs/layer_ablation_report.md). The decomposition shows that the cross-discipline validator and the KOSHA RAG layer carry orthogonal signal: each catches a class of …[truncated]</w:t>
            </w:r>
          </w:p>
        </w:tc>
      </w:tr>
      <w:tr>
        <w:tc>
          <w:tcPr>
            <w:tcW w:type="dxa" w:w="576"/>
            <w:shd w:val="clear" w:color="auto" w:fill="E2F0D9"/>
            <w:vAlign w:val="top"/>
          </w:tcPr>
          <w:p>
            <w:r>
              <w:rPr>
                <w:sz w:val="16"/>
              </w:rPr>
              <w:t>30</w:t>
            </w:r>
          </w:p>
        </w:tc>
        <w:tc>
          <w:tcPr>
            <w:tcW w:type="dxa" w:w="2880"/>
            <w:shd w:val="clear" w:color="auto" w:fill="E2F0D9"/>
            <w:vAlign w:val="top"/>
          </w:tcPr>
          <w:p>
            <w:r>
              <w:rPr>
                <w:b/>
                <w:sz w:val="16"/>
              </w:rPr>
              <w:t xml:space="preserve">[NEW] </w:t>
            </w:r>
            <w:r>
              <w:rPr>
                <w:sz w:val="16"/>
              </w:rPr>
              <w:t>6.6.3 Real-plant pipeline-execution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Headline. Running the unmodified pipeline against an anonymised real-plant data sheet (VES-REAL-001) produces a deterministic ASME UG-27 governing thickness of 7.237 mm and surfaces a mandatory KOSHA provision (Article 266,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…[truncated]</w:t>
            </w:r>
          </w:p>
        </w:tc>
      </w:tr>
      <w:tr>
        <w:tc>
          <w:tcPr>
            <w:tcW w:type="dxa" w:w="576"/>
            <w:shd w:val="clear" w:color="auto" w:fill="E2F0D9"/>
            <w:vAlign w:val="top"/>
          </w:tcPr>
          <w:p>
            <w:r>
              <w:rPr>
                <w:sz w:val="16"/>
              </w:rPr>
              <w:t>31</w:t>
            </w:r>
          </w:p>
        </w:tc>
        <w:tc>
          <w:tcPr>
            <w:tcW w:type="dxa" w:w="2880"/>
            <w:shd w:val="clear" w:color="auto" w:fill="E2F0D9"/>
            <w:vAlign w:val="top"/>
          </w:tcPr>
          <w:p>
            <w:r>
              <w:rPr>
                <w:b/>
                <w:sz w:val="16"/>
              </w:rPr>
              <w:t xml:space="preserve">[NEW] </w:t>
            </w:r>
            <w:r>
              <w:rPr>
                <w:sz w:val="16"/>
              </w:rPr>
              <w:t>6.7 Citation Traceability and Negative-Case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 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…[truncated]</w:t>
            </w:r>
          </w:p>
        </w:tc>
      </w:tr>
      <w:tr>
        <w:tc>
          <w:tcPr>
            <w:tcW w:type="dxa" w:w="576"/>
            <w:shd w:val="clear" w:color="auto" w:fill="FFF2CC"/>
            <w:vAlign w:val="top"/>
          </w:tcPr>
          <w:p>
            <w:r>
              <w:rPr>
                <w:sz w:val="16"/>
              </w:rPr>
              <w:t>32</w:t>
            </w:r>
          </w:p>
        </w:tc>
        <w:tc>
          <w:tcPr>
            <w:tcW w:type="dxa" w:w="2880"/>
            <w:shd w:val="clear" w:color="auto" w:fill="FFF2CC"/>
            <w:vAlign w:val="top"/>
          </w:tcPr>
          <w:p>
            <w:r>
              <w:rPr>
                <w:b/>
                <w:sz w:val="16"/>
              </w:rPr>
              <w:t xml:space="preserve">[REVISED] </w:t>
            </w:r>
            <w:r>
              <w:rPr>
                <w:sz w:val="16"/>
              </w:rPr>
              <w:t>7 Discussion</w:t>
            </w:r>
          </w:p>
        </w:tc>
        <w:tc>
          <w:tcPr>
            <w:tcW w:type="dxa" w:w="5760"/>
            <w:shd w:val="clear" w:color="auto" w:fill="FFF2CC"/>
            <w:vAlign w:val="top"/>
          </w:tcPr>
          <w:p>
            <w:r>
              <w:rPr>
                <w:sz w:val="16"/>
              </w:rPr>
              <w:t>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t>
            </w:r>
          </w:p>
        </w:tc>
        <w:tc>
          <w:tcPr>
            <w:tcW w:type="dxa" w:w="5760"/>
            <w:shd w:val="clear" w:color="auto" w:fill="FFF2CC"/>
            <w:vAlign w:val="top"/>
          </w:tcPr>
          <w:p>
            <w:r>
              <w:rPr>
                <w:sz w:val="16"/>
              </w:rPr>
              <w:t>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tc>
      </w:tr>
      <w:tr>
        <w:tc>
          <w:tcPr>
            <w:tcW w:type="dxa" w:w="576"/>
            <w:shd w:val="clear" w:color="auto" w:fill="FFF2CC"/>
            <w:vAlign w:val="top"/>
          </w:tcPr>
          <w:p>
            <w:r>
              <w:rPr>
                <w:sz w:val="16"/>
              </w:rPr>
              <w:t>33</w:t>
            </w:r>
          </w:p>
        </w:tc>
        <w:tc>
          <w:tcPr>
            <w:tcW w:type="dxa" w:w="2880"/>
            <w:shd w:val="clear" w:color="auto" w:fill="FFF2CC"/>
            <w:vAlign w:val="top"/>
          </w:tcPr>
          <w:p>
            <w:r>
              <w:rPr>
                <w:b/>
                <w:sz w:val="16"/>
              </w:rPr>
              <w:t xml:space="preserve">[REVISED] </w:t>
            </w:r>
            <w:r>
              <w:rPr>
                <w:sz w:val="16"/>
              </w:rPr>
              <w:t>7.1 The jurisdiction compliance gap</w:t>
            </w:r>
          </w:p>
        </w:tc>
        <w:tc>
          <w:tcPr>
            <w:tcW w:type="dxa" w:w="5760"/>
            <w:shd w:val="clear" w:color="auto" w:fill="FFF2CC"/>
            <w:vAlign w:val="top"/>
          </w:tcPr>
          <w:p>
            <w:r>
              <w:rPr>
                <w:sz w:val="16"/>
              </w:rPr>
              <w:t>(was: 7.5 Jurisdiction compliance gap case studies (RQ2))</w:t>
              <w:br/>
              <w:br/>
              <w:t>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 Case 1 — VES-GOLD-001 (Vessel Remaining Life). SA-516-70 vessel, 1.858 MPa, 217.3 °C, current thickness 44.82 mm. Calculation: required thickness 14.99 mm (ASME VIII UG-27), remaining life 136.3 years, inspection interval 10 years (API 510). No red flags. KOSHA RAG retrieves: M-69-2012 …[truncated]</w:t>
            </w:r>
          </w:p>
        </w:tc>
        <w:tc>
          <w:tcPr>
            <w:tcW w:type="dxa" w:w="5760"/>
            <w:shd w:val="clear" w:color="auto" w:fill="FFF2CC"/>
            <w:vAlign w:val="top"/>
          </w:tcPr>
          <w:p>
            <w:r>
              <w:rPr>
                <w:sz w:val="16"/>
              </w:rPr>
              <w:t>The most significant finding of this study is the existence of the jurisdiction compliance gap, defined as follows: 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 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…[truncated]</w:t>
            </w:r>
          </w:p>
        </w:tc>
      </w:tr>
      <w:tr>
        <w:tc>
          <w:tcPr>
            <w:tcW w:type="dxa" w:w="576"/>
            <w:shd w:val="clear" w:color="auto" w:fill="FFF2CC"/>
            <w:vAlign w:val="top"/>
          </w:tcPr>
          <w:p>
            <w:r>
              <w:rPr>
                <w:sz w:val="16"/>
              </w:rPr>
              <w:t>34</w:t>
            </w:r>
          </w:p>
        </w:tc>
        <w:tc>
          <w:tcPr>
            <w:tcW w:type="dxa" w:w="2880"/>
            <w:shd w:val="clear" w:color="auto" w:fill="FFF2CC"/>
            <w:vAlign w:val="top"/>
          </w:tcPr>
          <w:p>
            <w:r>
              <w:rPr>
                <w:b/>
                <w:sz w:val="16"/>
              </w:rPr>
              <w:t xml:space="preserve">[REVISED] </w:t>
            </w:r>
            <w:r>
              <w:rPr>
                <w:sz w:val="16"/>
              </w:rPr>
              <w:t>7.2 Compliance co-pilot, not replacement: HAZOP / RBI / Digital Twin / Regulatory RAG</w:t>
            </w:r>
          </w:p>
        </w:tc>
        <w:tc>
          <w:tcPr>
            <w:tcW w:type="dxa" w:w="5760"/>
            <w:shd w:val="clear" w:color="auto" w:fill="FFF2CC"/>
            <w:vAlign w:val="top"/>
          </w:tcPr>
          <w:p>
            <w:r>
              <w:rPr>
                <w:sz w:val="16"/>
              </w:rPr>
              <w:t>(was: Detecting Jurisdiction Compliance Gaps in Process Plant Engineering with Regulatory RAG)</w:t>
              <w:br/>
              <w:br/>
              <w:t>Yuyong Kim University of Wisconsin–Madison, Madison, WI 53706, USA M.S. Data, Insights &amp; Analytics; B.S. Chemical &amp; Biological Engineering</w:t>
            </w:r>
          </w:p>
        </w:tc>
        <w:tc>
          <w:tcPr>
            <w:tcW w:type="dxa" w:w="5760"/>
            <w:shd w:val="clear" w:color="auto" w:fill="FFF2CC"/>
            <w:vAlign w:val="top"/>
          </w:tcPr>
          <w:p>
            <w:r>
              <w:rPr>
                <w:sz w:val="16"/>
              </w:rPr>
              <w:t>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 Table 8. Method Comparison — HAZOP / RBI / Digital Twin / Regulatory RAG The four operational touchpoints are: Before HAZOP — identify mandatory regulatory nodes that the workshop must address. During design review — detect missing legal requirements before the design freezes. During RBI — check whether local inspection triggers are satisfied beyond the API calendar. During digital-twin operation — flag live compliance gaps as plant state evolves. In process-safety terms, the system functions as a Digital Compliance Auditor, an Automated PSM Checker (PSM = SEVESO / OSHA / KOSHA frameworks), and a Real-time Regulatory Advisor. Two roles bracket the temporal axis: Table 9. Auditor vs Advisor — temporal role The proposed system supports both roles depending on where in the workflow it is invoked.</w:t>
            </w:r>
          </w:p>
        </w:tc>
      </w:tr>
      <w:tr>
        <w:tc>
          <w:tcPr>
            <w:tcW w:type="dxa" w:w="576"/>
            <w:shd w:val="clear" w:color="auto" w:fill="E2F0D9"/>
            <w:vAlign w:val="top"/>
          </w:tcPr>
          <w:p>
            <w:r>
              <w:rPr>
                <w:sz w:val="16"/>
              </w:rPr>
              <w:t>35</w:t>
            </w:r>
          </w:p>
        </w:tc>
        <w:tc>
          <w:tcPr>
            <w:tcW w:type="dxa" w:w="2880"/>
            <w:shd w:val="clear" w:color="auto" w:fill="E2F0D9"/>
            <w:vAlign w:val="top"/>
          </w:tcPr>
          <w:p>
            <w:r>
              <w:rPr>
                <w:b/>
                <w:sz w:val="16"/>
              </w:rPr>
              <w:t xml:space="preserve">[NEW] </w:t>
            </w:r>
            <w:r>
              <w:rPr>
                <w:sz w:val="16"/>
              </w:rPr>
              <w:t>7.3 HAZOP scope: knowledge-based / AI-assisted, not a replacement for dynamic HAZOP</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tc>
      </w:tr>
      <w:tr>
        <w:tc>
          <w:tcPr>
            <w:tcW w:type="dxa" w:w="576"/>
            <w:shd w:val="clear" w:color="auto" w:fill="E2F0D9"/>
            <w:vAlign w:val="top"/>
          </w:tcPr>
          <w:p>
            <w:r>
              <w:rPr>
                <w:sz w:val="16"/>
              </w:rPr>
              <w:t>36</w:t>
            </w:r>
          </w:p>
        </w:tc>
        <w:tc>
          <w:tcPr>
            <w:tcW w:type="dxa" w:w="2880"/>
            <w:shd w:val="clear" w:color="auto" w:fill="E2F0D9"/>
            <w:vAlign w:val="top"/>
          </w:tcPr>
          <w:p>
            <w:r>
              <w:rPr>
                <w:b/>
                <w:sz w:val="16"/>
              </w:rPr>
              <w:t xml:space="preserve">[NEW] </w:t>
            </w:r>
            <w:r>
              <w:rPr>
                <w:sz w:val="16"/>
              </w:rPr>
              <w:t>7.4 Fitness-for-Service vs EPC standards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…[truncated]</w:t>
            </w:r>
          </w:p>
        </w:tc>
      </w:tr>
      <w:tr>
        <w:tc>
          <w:tcPr>
            <w:tcW w:type="dxa" w:w="576"/>
            <w:shd w:val="clear" w:color="auto" w:fill="FFF2CC"/>
            <w:vAlign w:val="top"/>
          </w:tcPr>
          <w:p>
            <w:r>
              <w:rPr>
                <w:sz w:val="16"/>
              </w:rPr>
              <w:t>37</w:t>
            </w:r>
          </w:p>
        </w:tc>
        <w:tc>
          <w:tcPr>
            <w:tcW w:type="dxa" w:w="2880"/>
            <w:shd w:val="clear" w:color="auto" w:fill="FFF2CC"/>
            <w:vAlign w:val="top"/>
          </w:tcPr>
          <w:p>
            <w:r>
              <w:rPr>
                <w:b/>
                <w:sz w:val="16"/>
              </w:rPr>
              <w:t xml:space="preserve">[REVISED] </w:t>
            </w:r>
            <w:r>
              <w:rPr>
                <w:sz w:val="16"/>
              </w:rPr>
              <w:t>7.5 Process-safety contribution</w:t>
            </w:r>
          </w:p>
        </w:tc>
        <w:tc>
          <w:tcPr>
            <w:tcW w:type="dxa" w:w="5760"/>
            <w:shd w:val="clear" w:color="auto" w:fill="FFF2CC"/>
            <w:vAlign w:val="top"/>
          </w:tcPr>
          <w:p>
            <w:r>
              <w:rPr>
                <w:sz w:val="16"/>
              </w:rPr>
              <w:t>(was: 8.3 Cross-discipline coupling as safety contribution)</w:t>
              <w:br/>
              <w:br/>
              <w:t>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t>
            </w:r>
          </w:p>
        </w:tc>
        <w:tc>
          <w:tcPr>
            <w:tcW w:type="dxa" w:w="5760"/>
            <w:shd w:val="clear" w:color="auto" w:fill="FFF2CC"/>
            <w:vAlign w:val="top"/>
          </w:tcPr>
          <w:p>
            <w:r>
              <w:rPr>
                <w:sz w:val="16"/>
              </w:rPr>
              <w:t>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…[truncated]</w:t>
            </w:r>
          </w:p>
        </w:tc>
      </w:tr>
      <w:tr>
        <w:tc>
          <w:tcPr>
            <w:tcW w:type="dxa" w:w="576"/>
            <w:shd w:val="clear" w:color="auto" w:fill="FFF2CC"/>
            <w:vAlign w:val="top"/>
          </w:tcPr>
          <w:p>
            <w:r>
              <w:rPr>
                <w:sz w:val="16"/>
              </w:rPr>
              <w:t>38</w:t>
            </w:r>
          </w:p>
        </w:tc>
        <w:tc>
          <w:tcPr>
            <w:tcW w:type="dxa" w:w="2880"/>
            <w:shd w:val="clear" w:color="auto" w:fill="FFF2CC"/>
            <w:vAlign w:val="top"/>
          </w:tcPr>
          <w:p>
            <w:r>
              <w:rPr>
                <w:b/>
                <w:sz w:val="16"/>
              </w:rPr>
              <w:t xml:space="preserve">[REVISED] </w:t>
            </w:r>
            <w:r>
              <w:rPr>
                <w:sz w:val="16"/>
              </w:rPr>
              <w:t>7.6 Reproducibility and explainability</w:t>
            </w:r>
          </w:p>
        </w:tc>
        <w:tc>
          <w:tcPr>
            <w:tcW w:type="dxa" w:w="5760"/>
            <w:shd w:val="clear" w:color="auto" w:fill="FFF2CC"/>
            <w:vAlign w:val="top"/>
          </w:tcPr>
          <w:p>
            <w:r>
              <w:rPr>
                <w:sz w:val="16"/>
              </w:rPr>
              <w:t>(was: Code and Data Availability)</w:t>
              <w:br/>
              <w:br/>
              <w:t>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t>
            </w:r>
          </w:p>
        </w:tc>
        <w:tc>
          <w:tcPr>
            <w:tcW w:type="dxa" w:w="5760"/>
            <w:shd w:val="clear" w:color="auto" w:fill="FFF2CC"/>
            <w:vAlign w:val="top"/>
          </w:tcPr>
          <w:p>
            <w:r>
              <w:rPr>
                <w:sz w:val="16"/>
              </w:rPr>
              <w:t>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p>
        </w:tc>
      </w:tr>
      <w:tr>
        <w:tc>
          <w:tcPr>
            <w:tcW w:type="dxa" w:w="576"/>
            <w:shd w:val="clear" w:color="auto" w:fill="FFF2CC"/>
            <w:vAlign w:val="top"/>
          </w:tcPr>
          <w:p>
            <w:r>
              <w:rPr>
                <w:sz w:val="16"/>
              </w:rPr>
              <w:t>39</w:t>
            </w:r>
          </w:p>
        </w:tc>
        <w:tc>
          <w:tcPr>
            <w:tcW w:type="dxa" w:w="2880"/>
            <w:shd w:val="clear" w:color="auto" w:fill="FFF2CC"/>
            <w:vAlign w:val="top"/>
          </w:tcPr>
          <w:p>
            <w:r>
              <w:rPr>
                <w:b/>
                <w:sz w:val="16"/>
              </w:rPr>
              <w:t xml:space="preserve">[REVISED] </w:t>
            </w:r>
            <w:r>
              <w:rPr>
                <w:sz w:val="16"/>
              </w:rPr>
              <w:t>8 Limitations and Future Work</w:t>
            </w:r>
          </w:p>
        </w:tc>
        <w:tc>
          <w:tcPr>
            <w:tcW w:type="dxa" w:w="5760"/>
            <w:shd w:val="clear" w:color="auto" w:fill="FFF2CC"/>
            <w:vAlign w:val="top"/>
          </w:tcPr>
          <w:p>
            <w:r>
              <w:rPr>
                <w:sz w:val="16"/>
              </w:rPr>
              <w:t>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 Screening-level outputs. Domain outputs support engineering review but cannot substitute for detailed design calculations or fitness-for-service assessments by qualified engineers. Curated retrieval benchmark. The 50-query benchmark measures retrieval robustness across query formulations, not breadth of regulatory coverage. BM25 may miss semantically similar Korean documents despite synonym expansion. Ten coupling pairs. Systematic expansion to additional domain pairs is needed. The current set covers well-documented inter-discipline failure mechanisms but is not exhaustive. Internal baselines only. Comparison against …[truncated]</w:t>
            </w:r>
          </w:p>
        </w:tc>
        <w:tc>
          <w:tcPr>
            <w:tcW w:type="dxa" w:w="5760"/>
            <w:shd w:val="clear" w:color="auto" w:fill="FFF2CC"/>
            <w:vAlign w:val="top"/>
          </w:tcPr>
          <w:p>
            <w:r>
              <w:rPr>
                <w:sz w:val="16"/>
              </w:rPr>
              <w:t>This study has the following limitations. 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 Screening-level domain outputs. Some domain outputs represent screening-level assessments and cannot substitute for detailed engineering design review. 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 Coupling pair coverage. The cross-discipline coupling validation is limited to ten predefined domain pairs. Cross-discipline evidence is currently strongest in piping-vessel coupling (22 of 26 ablation detections) and should not yet be …[truncated]</w:t>
            </w:r>
          </w:p>
        </w:tc>
      </w:tr>
      <w:tr>
        <w:tc>
          <w:tcPr>
            <w:tcW w:type="dxa" w:w="576"/>
            <w:shd w:val="clear" w:color="auto" w:fill="FFF2CC"/>
            <w:vAlign w:val="top"/>
          </w:tcPr>
          <w:p>
            <w:r>
              <w:rPr>
                <w:sz w:val="16"/>
              </w:rPr>
              <w:t>40</w:t>
            </w:r>
          </w:p>
        </w:tc>
        <w:tc>
          <w:tcPr>
            <w:tcW w:type="dxa" w:w="2880"/>
            <w:shd w:val="clear" w:color="auto" w:fill="FFF2CC"/>
            <w:vAlign w:val="top"/>
          </w:tcPr>
          <w:p>
            <w:r>
              <w:rPr>
                <w:b/>
                <w:sz w:val="16"/>
              </w:rPr>
              <w:t xml:space="preserve">[REVISED] </w:t>
            </w:r>
            <w:r>
              <w:rPr>
                <w:sz w:val="16"/>
              </w:rPr>
              <w:t>9 Conclusion</w:t>
            </w:r>
          </w:p>
        </w:tc>
        <w:tc>
          <w:tcPr>
            <w:tcW w:type="dxa" w:w="5760"/>
            <w:shd w:val="clear" w:color="auto" w:fill="FFF2CC"/>
            <w:vAlign w:val="top"/>
          </w:tcPr>
          <w:p>
            <w:r>
              <w:rPr>
                <w:sz w:val="16"/>
              </w:rPr>
              <w:t>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 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 We hypothesise that the jurisdiction compliance gap is a …[truncated]</w:t>
            </w:r>
          </w:p>
        </w:tc>
        <w:tc>
          <w:tcPr>
            <w:tcW w:type="dxa" w:w="5760"/>
            <w:shd w:val="clear" w:color="auto" w:fill="FFF2CC"/>
            <w:vAlign w:val="top"/>
          </w:tcPr>
          <w:p>
            <w:r>
              <w:rPr>
                <w:sz w:val="16"/>
              </w:rPr>
              <w:t>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…[truncated]</w:t>
            </w:r>
          </w:p>
        </w:tc>
      </w:tr>
      <w:tr>
        <w:tc>
          <w:tcPr>
            <w:tcW w:type="dxa" w:w="576"/>
            <w:shd w:val="clear" w:color="auto" w:fill="FFF2CC"/>
            <w:vAlign w:val="top"/>
          </w:tcPr>
          <w:p>
            <w:r>
              <w:rPr>
                <w:sz w:val="16"/>
              </w:rPr>
              <w:t>41</w:t>
            </w:r>
          </w:p>
        </w:tc>
        <w:tc>
          <w:tcPr>
            <w:tcW w:type="dxa" w:w="2880"/>
            <w:shd w:val="clear" w:color="auto" w:fill="FFF2CC"/>
            <w:vAlign w:val="top"/>
          </w:tcPr>
          <w:p>
            <w:r>
              <w:rPr>
                <w:b/>
                <w:sz w:val="16"/>
              </w:rPr>
              <w:t xml:space="preserve">[REVISED] </w:t>
            </w:r>
            <w:r>
              <w:rPr>
                <w:sz w:val="16"/>
              </w:rPr>
              <w:t>Acknowledgements</w:t>
            </w:r>
          </w:p>
        </w:tc>
        <w:tc>
          <w:tcPr>
            <w:tcW w:type="dxa" w:w="5760"/>
            <w:shd w:val="clear" w:color="auto" w:fill="FFF2CC"/>
            <w:vAlign w:val="top"/>
          </w:tcPr>
          <w:p>
            <w:r>
              <w:rPr>
                <w:sz w:val="16"/>
              </w:rPr>
              <w:t>The author acknowledges the Korea Occupational Safety and Health Agency (KOSHA) for public API access to technical guidelines and statutory provisions.</w:t>
            </w:r>
          </w:p>
        </w:tc>
        <w:tc>
          <w:tcPr>
            <w:tcW w:type="dxa" w:w="5760"/>
            <w:shd w:val="clear" w:color="auto" w:fill="FFF2CC"/>
            <w:vAlign w:val="top"/>
          </w:tcPr>
          <w:p>
            <w:r>
              <w:rPr>
                <w:sz w:val="16"/>
              </w:rPr>
              <w:t>The author thanks the JLP editorial team for handling this submission, and is grateful for the detailed and structured peer-review feedback that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tc>
      </w:tr>
      <w:tr>
        <w:tc>
          <w:tcPr>
            <w:tcW w:type="dxa" w:w="576"/>
            <w:shd w:val="clear" w:color="auto" w:fill="FFF2CC"/>
            <w:vAlign w:val="top"/>
          </w:tcPr>
          <w:p>
            <w:r>
              <w:rPr>
                <w:sz w:val="16"/>
              </w:rPr>
              <w:t>42</w:t>
            </w:r>
          </w:p>
        </w:tc>
        <w:tc>
          <w:tcPr>
            <w:tcW w:type="dxa" w:w="2880"/>
            <w:shd w:val="clear" w:color="auto" w:fill="FFF2CC"/>
            <w:vAlign w:val="top"/>
          </w:tcPr>
          <w:p>
            <w:r>
              <w:rPr>
                <w:b/>
                <w:sz w:val="16"/>
              </w:rPr>
              <w:t xml:space="preserve">[REVISED] </w:t>
            </w:r>
            <w:r>
              <w:rPr>
                <w:sz w:val="16"/>
              </w:rPr>
              <w:t>Code and Data Availability</w:t>
            </w:r>
          </w:p>
        </w:tc>
        <w:tc>
          <w:tcPr>
            <w:tcW w:type="dxa" w:w="5760"/>
            <w:shd w:val="clear" w:color="auto" w:fill="FFF2CC"/>
            <w:vAlign w:val="top"/>
          </w:tcPr>
          <w:p>
            <w:r>
              <w:rPr>
                <w:sz w:val="16"/>
              </w:rPr>
              <w:t>(was: 7.1 Golden dataset validation)</w:t>
              <w:br/>
              <w:br/>
              <w:t>220 synthetic golden cases across seven disciplines: Each golden case was constructed through the following procedure: Seed data selection. Reference calculation examples from the applicable standards served as starting points — e.g., ASME B31.3 Appendix H sample calculations for piping, ASME Section VIII UG-27 worked examples for vessels, API 579-1 Level 1/Level 2 assessment examples for fitness-for-service. 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 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 Runtime validation …[truncated]</w:t>
            </w:r>
          </w:p>
        </w:tc>
        <w:tc>
          <w:tcPr>
            <w:tcW w:type="dxa" w:w="5760"/>
            <w:shd w:val="clear" w:color="auto" w:fill="FFF2CC"/>
            <w:vAlign w:val="top"/>
          </w:tcPr>
          <w:p>
            <w:r>
              <w:rPr>
                <w:sz w:val="16"/>
              </w:rPr>
              <w:t>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p>
        </w:tc>
      </w:tr>
      <w:tr>
        <w:tc>
          <w:tcPr>
            <w:tcW w:type="dxa" w:w="576"/>
            <w:shd w:val="clear" w:color="auto" w:fill="E2F0D9"/>
            <w:vAlign w:val="top"/>
          </w:tcPr>
          <w:p>
            <w:r>
              <w:rPr>
                <w:sz w:val="16"/>
              </w:rPr>
              <w:t>43</w:t>
            </w:r>
          </w:p>
        </w:tc>
        <w:tc>
          <w:tcPr>
            <w:tcW w:type="dxa" w:w="2880"/>
            <w:shd w:val="clear" w:color="auto" w:fill="E2F0D9"/>
            <w:vAlign w:val="top"/>
          </w:tcPr>
          <w:p>
            <w:r>
              <w:rPr>
                <w:b/>
                <w:sz w:val="16"/>
              </w:rPr>
              <w:t xml:space="preserve">[NEW] </w:t>
            </w:r>
            <w:r>
              <w:rPr>
                <w:sz w:val="16"/>
              </w:rPr>
              <w:t>Acronyms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44</w:t>
            </w:r>
          </w:p>
        </w:tc>
        <w:tc>
          <w:tcPr>
            <w:tcW w:type="dxa" w:w="2880"/>
            <w:shd w:val="clear" w:color="auto" w:fill="FFF2CC"/>
            <w:vAlign w:val="top"/>
          </w:tcPr>
          <w:p>
            <w:r>
              <w:rPr>
                <w:b/>
                <w:sz w:val="16"/>
              </w:rPr>
              <w:t xml:space="preserve">[REVISED] </w:t>
            </w:r>
            <w:r>
              <w:rPr>
                <w:sz w:val="16"/>
              </w:rPr>
              <w:t>Key Definitions</w:t>
            </w:r>
          </w:p>
        </w:tc>
        <w:tc>
          <w:tcPr>
            <w:tcW w:type="dxa" w:w="5760"/>
            <w:shd w:val="clear" w:color="auto" w:fill="FFF2CC"/>
            <w:vAlign w:val="top"/>
          </w:tcPr>
          <w:p>
            <w:r>
              <w:rPr>
                <w:sz w:val="16"/>
              </w:rPr>
              <w:t>(was: 3.1 Definition)</w:t>
              <w:br/>
              <w:br/>
              <w:t>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t>
            </w:r>
          </w:p>
        </w:tc>
        <w:tc>
          <w:tcPr>
            <w:tcW w:type="dxa" w:w="5760"/>
            <w:shd w:val="clear" w:color="auto" w:fill="FFF2CC"/>
            <w:vAlign w:val="top"/>
          </w:tcPr>
          <w:p>
            <w:r>
              <w:rPr>
                <w:sz w:val="16"/>
              </w:rPr>
              <w:t>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 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 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 Implementation verification — confirmation that the system faithfully encodes the standards and rules it claims to implement, evaluated against cases derived from the same standards. Distinguished …[truncated]</w:t>
            </w:r>
          </w:p>
        </w:tc>
      </w:tr>
      <w:tr>
        <w:tc>
          <w:tcPr>
            <w:tcW w:type="dxa" w:w="576"/>
            <w:shd w:val="clear" w:color="auto" w:fill="E2F0D9"/>
            <w:vAlign w:val="top"/>
          </w:tcPr>
          <w:p>
            <w:r>
              <w:rPr>
                <w:sz w:val="16"/>
              </w:rPr>
              <w:t>45</w:t>
            </w:r>
          </w:p>
        </w:tc>
        <w:tc>
          <w:tcPr>
            <w:tcW w:type="dxa" w:w="2880"/>
            <w:shd w:val="clear" w:color="auto" w:fill="E2F0D9"/>
            <w:vAlign w:val="top"/>
          </w:tcPr>
          <w:p>
            <w:r>
              <w:rPr>
                <w:b/>
                <w:sz w:val="16"/>
              </w:rPr>
              <w:t xml:space="preserve">[NEW] </w:t>
            </w:r>
            <w:r>
              <w:rPr>
                <w:sz w:val="16"/>
              </w:rPr>
              <w:t>Appendix A. Real-Plant Data-Sheet Validation (VES-REAL-001)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46</w:t>
            </w:r>
          </w:p>
        </w:tc>
        <w:tc>
          <w:tcPr>
            <w:tcW w:type="dxa" w:w="2880"/>
            <w:shd w:val="clear" w:color="auto" w:fill="FFF2CC"/>
            <w:vAlign w:val="top"/>
          </w:tcPr>
          <w:p>
            <w:r>
              <w:rPr>
                <w:b/>
                <w:sz w:val="16"/>
              </w:rPr>
              <w:t xml:space="preserve">[REVISED] </w:t>
            </w:r>
            <w:r>
              <w:rPr>
                <w:sz w:val="16"/>
              </w:rPr>
              <w:t>A.1 Anonymisation policy and provenance</w:t>
            </w:r>
          </w:p>
        </w:tc>
        <w:tc>
          <w:tcPr>
            <w:tcW w:type="dxa" w:w="5760"/>
            <w:shd w:val="clear" w:color="auto" w:fill="FFF2CC"/>
            <w:vAlign w:val="top"/>
          </w:tcPr>
          <w:p>
            <w:r>
              <w:rPr>
                <w:sz w:val="16"/>
              </w:rPr>
              <w:t>(was: 6.3 Layer 3 — Physics and code compliance)</w:t>
              <w:br/>
              <w:br/>
              <w:t>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 All major calculation steps carry explicit standard citations (e.g., “ASME B31.3 §304.1.2”).</w:t>
            </w:r>
          </w:p>
        </w:tc>
        <w:tc>
          <w:tcPr>
            <w:tcW w:type="dxa" w:w="5760"/>
            <w:shd w:val="clear" w:color="auto" w:fill="FFF2CC"/>
            <w:vAlign w:val="top"/>
          </w:tcPr>
          <w:p>
            <w:r>
              <w:rPr>
                <w:sz w:val="16"/>
              </w:rPr>
              <w:t>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p>
        </w:tc>
      </w:tr>
      <w:tr>
        <w:tc>
          <w:tcPr>
            <w:tcW w:type="dxa" w:w="576"/>
            <w:shd w:val="clear" w:color="auto" w:fill="E2F0D9"/>
            <w:vAlign w:val="top"/>
          </w:tcPr>
          <w:p>
            <w:r>
              <w:rPr>
                <w:sz w:val="16"/>
              </w:rPr>
              <w:t>47</w:t>
            </w:r>
          </w:p>
        </w:tc>
        <w:tc>
          <w:tcPr>
            <w:tcW w:type="dxa" w:w="2880"/>
            <w:shd w:val="clear" w:color="auto" w:fill="E2F0D9"/>
            <w:vAlign w:val="top"/>
          </w:tcPr>
          <w:p>
            <w:r>
              <w:rPr>
                <w:b/>
                <w:sz w:val="16"/>
              </w:rPr>
              <w:t xml:space="preserve">[NEW] </w:t>
            </w:r>
            <w:r>
              <w:rPr>
                <w:sz w:val="16"/>
              </w:rPr>
              <w:t>A.2 Anonymised vessel specification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vessel under test is a cryogenic flare knockout drum. Source of all numbers below: outputs/real_case_ves001_rag.json produced by scripts/run_real_case_ves001_rag.py. No number in this appendix has been edited by hand.</w:t>
            </w:r>
          </w:p>
        </w:tc>
      </w:tr>
      <w:tr>
        <w:tc>
          <w:tcPr>
            <w:tcW w:type="dxa" w:w="576"/>
            <w:shd w:val="clear" w:color="auto" w:fill="FFF2CC"/>
            <w:vAlign w:val="top"/>
          </w:tcPr>
          <w:p>
            <w:r>
              <w:rPr>
                <w:sz w:val="16"/>
              </w:rPr>
              <w:t>48</w:t>
            </w:r>
          </w:p>
        </w:tc>
        <w:tc>
          <w:tcPr>
            <w:tcW w:type="dxa" w:w="2880"/>
            <w:shd w:val="clear" w:color="auto" w:fill="FFF2CC"/>
            <w:vAlign w:val="top"/>
          </w:tcPr>
          <w:p>
            <w:r>
              <w:rPr>
                <w:b/>
                <w:sz w:val="16"/>
              </w:rPr>
              <w:t xml:space="preserve">[REVISED] </w:t>
            </w:r>
            <w:r>
              <w:rPr>
                <w:sz w:val="16"/>
              </w:rPr>
              <w:t>A.3 Calculation-engine output</w:t>
            </w:r>
          </w:p>
        </w:tc>
        <w:tc>
          <w:tcPr>
            <w:tcW w:type="dxa" w:w="5760"/>
            <w:shd w:val="clear" w:color="auto" w:fill="FFF2CC"/>
            <w:vAlign w:val="top"/>
          </w:tcPr>
          <w:p>
            <w:r>
              <w:rPr>
                <w:sz w:val="16"/>
              </w:rPr>
              <w:t>(was: Declaration of Competing Interest)</w:t>
              <w:br/>
              <w:br/>
              <w:t>The author declares no known competing financial interests or personal relationships that could have appeared to influence this work.</w:t>
            </w:r>
          </w:p>
        </w:tc>
        <w:tc>
          <w:tcPr>
            <w:tcW w:type="dxa" w:w="5760"/>
            <w:shd w:val="clear" w:color="auto" w:fill="FFF2CC"/>
            <w:vAlign w:val="top"/>
          </w:tcPr>
          <w:p>
            <w:r>
              <w:rPr>
                <w:sz w:val="16"/>
              </w:rPr>
              <w:t>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 Direct UG-27 results (formula t = (P·R) / (S·E - 0.6·P) + CA): The hot side governs: the controlling required shell thickness is 7.237 mm. The Layer-4 reverse-pressure check returns the design pressure to within machine epsilon (deviation &lt; 0.001 %), as expected for an internally consistent UG-27 forward/reverse pair. Engine full-run hot-side dimensional metrics (E = 1.0; horizontal drum; 2:1 ellipsoidal …[truncated]</w:t>
            </w:r>
          </w:p>
        </w:tc>
      </w:tr>
      <w:tr>
        <w:tc>
          <w:tcPr>
            <w:tcW w:type="dxa" w:w="576"/>
            <w:shd w:val="clear" w:color="auto" w:fill="E2F0D9"/>
            <w:vAlign w:val="top"/>
          </w:tcPr>
          <w:p>
            <w:r>
              <w:rPr>
                <w:sz w:val="16"/>
              </w:rPr>
              <w:t>49</w:t>
            </w:r>
          </w:p>
        </w:tc>
        <w:tc>
          <w:tcPr>
            <w:tcW w:type="dxa" w:w="2880"/>
            <w:shd w:val="clear" w:color="auto" w:fill="E2F0D9"/>
            <w:vAlign w:val="top"/>
          </w:tcPr>
          <w:p>
            <w:r>
              <w:rPr>
                <w:b/>
                <w:sz w:val="16"/>
              </w:rPr>
              <w:t xml:space="preserve">[NEW] </w:t>
            </w:r>
            <w:r>
              <w:rPr>
                <w:sz w:val="16"/>
              </w:rPr>
              <w:t>A.4 KOSHA RAG retrieval — both query variants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Two query variants were issued through the same retrieval code path used in the rest of the paper (src.rag.local_kosha_rag.search_index against the live SQLite FTS index). 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 Variant B — narrow_cryogenic_kr_terms (no discipline filter). Narrower probe: “저온 cryogenic 플레어 flare 스테인리스 stainless 압력용기 산업안전보건 process safety”. Returns 10/10 hits: 1 mandatory law-article hit + 9 KOSHA guides / PSM technical-support documents. Top-3: 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 The full top-10 of each variant, with bm25 scores …[truncated]</w:t>
            </w:r>
          </w:p>
        </w:tc>
      </w:tr>
      <w:tr>
        <w:tc>
          <w:tcPr>
            <w:tcW w:type="dxa" w:w="576"/>
            <w:shd w:val="clear" w:color="auto" w:fill="E2F0D9"/>
            <w:vAlign w:val="top"/>
          </w:tcPr>
          <w:p>
            <w:r>
              <w:rPr>
                <w:sz w:val="16"/>
              </w:rPr>
              <w:t>50</w:t>
            </w:r>
          </w:p>
        </w:tc>
        <w:tc>
          <w:tcPr>
            <w:tcW w:type="dxa" w:w="2880"/>
            <w:shd w:val="clear" w:color="auto" w:fill="E2F0D9"/>
            <w:vAlign w:val="top"/>
          </w:tcPr>
          <w:p>
            <w:r>
              <w:rPr>
                <w:b/>
                <w:sz w:val="16"/>
              </w:rPr>
              <w:t xml:space="preserve">[NEW] </w:t>
            </w:r>
            <w:r>
              <w:rPr>
                <w:sz w:val="16"/>
              </w:rPr>
              <w:t>A.5 What this confirms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…[truncated]</w:t>
            </w:r>
          </w:p>
        </w:tc>
      </w:tr>
      <w:tr>
        <w:tc>
          <w:tcPr>
            <w:tcW w:type="dxa" w:w="576"/>
            <w:shd w:val="clear" w:color="auto" w:fill="FFF2CC"/>
            <w:vAlign w:val="top"/>
          </w:tcPr>
          <w:p>
            <w:r>
              <w:rPr>
                <w:sz w:val="16"/>
              </w:rPr>
              <w:t>51</w:t>
            </w:r>
          </w:p>
        </w:tc>
        <w:tc>
          <w:tcPr>
            <w:tcW w:type="dxa" w:w="2880"/>
            <w:shd w:val="clear" w:color="auto" w:fill="FFF2CC"/>
            <w:vAlign w:val="top"/>
          </w:tcPr>
          <w:p>
            <w:r>
              <w:rPr>
                <w:b/>
                <w:sz w:val="16"/>
              </w:rPr>
              <w:t xml:space="preserve">[REVISED] </w:t>
            </w:r>
            <w:r>
              <w:rPr>
                <w:sz w:val="16"/>
              </w:rPr>
              <w:t>A.6 Synthetic-data framing considerations</w:t>
            </w:r>
          </w:p>
        </w:tc>
        <w:tc>
          <w:tcPr>
            <w:tcW w:type="dxa" w:w="5760"/>
            <w:shd w:val="clear" w:color="auto" w:fill="FFF2CC"/>
            <w:vAlign w:val="top"/>
          </w:tcPr>
          <w:p>
            <w:r>
              <w:rPr>
                <w:sz w:val="16"/>
              </w:rPr>
              <w:t>(was: 6.1 Layer 1 — Input validation)</w:t>
              <w:br/>
              <w:br/>
              <w:t>Mandatory field presence, unit contract compliance, and domain-specific range constraints. Missing critical fields or unit violations trigger a blocking error that prevents downstream calculation. This layer gates all subsequent processing.</w:t>
            </w:r>
          </w:p>
        </w:tc>
        <w:tc>
          <w:tcPr>
            <w:tcW w:type="dxa" w:w="5760"/>
            <w:shd w:val="clear" w:color="auto" w:fill="FFF2CC"/>
            <w:vAlign w:val="top"/>
          </w:tcPr>
          <w:p>
            <w:r>
              <w:rPr>
                <w:sz w:val="16"/>
              </w:rPr>
              <w:t>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 Reproduction. python scripts/run_real_case_ves001_rag.py regenerates outputs/real_case_ves001_rag.json and outputs/real_case_ves001_rag.md. The KOSHA RAG index used is datasets/kosha_rag/kosha_local_rag.sqlite3. No randomness; outputs are deterministic.</w:t>
            </w:r>
          </w:p>
        </w:tc>
      </w:tr>
      <w:tr>
        <w:tc>
          <w:tcPr>
            <w:tcW w:type="dxa" w:w="576"/>
            <w:shd w:val="clear" w:color="auto" w:fill="E2F0D9"/>
            <w:vAlign w:val="top"/>
          </w:tcPr>
          <w:p>
            <w:r>
              <w:rPr>
                <w:sz w:val="16"/>
              </w:rPr>
              <w:t>52</w:t>
            </w:r>
          </w:p>
        </w:tc>
        <w:tc>
          <w:tcPr>
            <w:tcW w:type="dxa" w:w="2880"/>
            <w:shd w:val="clear" w:color="auto" w:fill="E2F0D9"/>
            <w:vAlign w:val="top"/>
          </w:tcPr>
          <w:p>
            <w:r>
              <w:rPr>
                <w:b/>
                <w:sz w:val="16"/>
              </w:rPr>
              <w:t xml:space="preserve">[NEW] </w:t>
            </w:r>
            <w:r>
              <w:rPr>
                <w:sz w:val="16"/>
              </w:rPr>
              <w:t>Appendix B — Extended validation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This appendix consolidates four supplementary measurements (per-discipline accuracy spread, recall saturation, pipeline latency, retrieval failure inventory) and a reproducibility statement. Every table is regenerated by scripts/reproduce_all.py (13/13 scripts pass on a clean run).</w:t>
            </w:r>
          </w:p>
        </w:tc>
      </w:tr>
      <w:tr>
        <w:tc>
          <w:tcPr>
            <w:tcW w:type="dxa" w:w="576"/>
            <w:shd w:val="clear" w:color="auto" w:fill="E2F0D9"/>
            <w:vAlign w:val="top"/>
          </w:tcPr>
          <w:p>
            <w:r>
              <w:rPr>
                <w:sz w:val="16"/>
              </w:rPr>
              <w:t>53</w:t>
            </w:r>
          </w:p>
        </w:tc>
        <w:tc>
          <w:tcPr>
            <w:tcW w:type="dxa" w:w="2880"/>
            <w:shd w:val="clear" w:color="auto" w:fill="E2F0D9"/>
            <w:vAlign w:val="top"/>
          </w:tcPr>
          <w:p>
            <w:r>
              <w:rPr>
                <w:b/>
                <w:sz w:val="16"/>
              </w:rPr>
              <w:t xml:space="preserve">[NEW] </w:t>
            </w:r>
            <w:r>
              <w:rPr>
                <w:sz w:val="16"/>
              </w:rPr>
              <w:t>B.1 Per-discipline calculation accuracy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natural follow-up question is whether the system performs unevenly across disciplines. Per-discipline breakdown (outputs/per_discipline_accuracy.md): Total cases: 220 Passed cases: 220 Overall accuracy: 1.0000 Source dataset: datasets/golden_standards/*_golden_dataset_v1.json Code path: scripts/benchmark_all_runtime.py (re-used). Per-Discipline Table Red-flag Confusion (Per-Discipline). Per-flag, per-case counts: TP = expected and predicted; FP = predicted but not expected; FN = expected but not predicted. 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tc>
      </w:tr>
      <w:tr>
        <w:tc>
          <w:tcPr>
            <w:tcW w:type="dxa" w:w="576"/>
            <w:shd w:val="clear" w:color="auto" w:fill="E2F0D9"/>
            <w:vAlign w:val="top"/>
          </w:tcPr>
          <w:p>
            <w:r>
              <w:rPr>
                <w:sz w:val="16"/>
              </w:rPr>
              <w:t>54</w:t>
            </w:r>
          </w:p>
        </w:tc>
        <w:tc>
          <w:tcPr>
            <w:tcW w:type="dxa" w:w="2880"/>
            <w:shd w:val="clear" w:color="auto" w:fill="E2F0D9"/>
            <w:vAlign w:val="top"/>
          </w:tcPr>
          <w:p>
            <w:r>
              <w:rPr>
                <w:b/>
                <w:sz w:val="16"/>
              </w:rPr>
              <w:t xml:space="preserve">[NEW] </w:t>
            </w:r>
            <w:r>
              <w:rPr>
                <w:sz w:val="16"/>
              </w:rPr>
              <w:t>B.2 Recall@K extension (K = 1..10)</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Per-K table from outputs/rag_retrieval_extended.md (Dataset: datasets/kosha_rag/rag_eval_queries.json; queries: 50; bootstrap draws: 1000, seed=20260508): Point Estimates per K Paired Difference (Enhanced − Plain) per K The Enhanced curve saturates at 0.8621 from K = 3; the Plain curve continues to rise. Paired-bootstrap 95% CI on the Enhanced − Plain delta excludes zero only at K∈{1, 2}. The headline retrieval claim of the paper is therefore narrowed to Recall@1 and MRR@10 (§6.5).</w:t>
            </w:r>
          </w:p>
        </w:tc>
      </w:tr>
      <w:tr>
        <w:tc>
          <w:tcPr>
            <w:tcW w:type="dxa" w:w="576"/>
            <w:shd w:val="clear" w:color="auto" w:fill="E2F0D9"/>
            <w:vAlign w:val="top"/>
          </w:tcPr>
          <w:p>
            <w:r>
              <w:rPr>
                <w:sz w:val="16"/>
              </w:rPr>
              <w:t>55</w:t>
            </w:r>
          </w:p>
        </w:tc>
        <w:tc>
          <w:tcPr>
            <w:tcW w:type="dxa" w:w="2880"/>
            <w:shd w:val="clear" w:color="auto" w:fill="E2F0D9"/>
            <w:vAlign w:val="top"/>
          </w:tcPr>
          <w:p>
            <w:r>
              <w:rPr>
                <w:b/>
                <w:sz w:val="16"/>
              </w:rPr>
              <w:t xml:space="preserve">[NEW] </w:t>
            </w:r>
            <w:r>
              <w:rPr>
                <w:sz w:val="16"/>
              </w:rPr>
              <w:t>B.3 Pipeline end-to-end latency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Median latency per stage on a commodity AMD x86-64 CPU under Python 3.13 (outputs/pipeline_latency.md; Platform: Windows 10 (AMD64); CPU: AMD64 Family 25 Model 33 Stepping 2; repetitions per stage: 5): Per-Discipline Layered Stack (Layers 1–4 Combined, service.evaluate) Piping Per-Layer Breakdown (case PIP-GOLD-001): Cross-Discipline Validator (one paired call across 7 disciplines): median 0.028 ms, p95 0.045 ms, min/max 0.021 / 0.045 ms. KOSHA RAG Retrieval (top-10): query pressure vessel remaining life assessment, hit count 4, median 1.151 ms, p95 3.351 ms, min/max 1.018 / 3.351 ms. KOSHA RAG Generation (Qwen via Ollama): model qwen3:4b, prompt 2,054 chars, median 41,725.0 ms, p95 62,277.2 ms, min/max 31,919.7 / 62,277.2 ms. End-to-End Median. Composition: piping service.evaluate median + cross-discipline validator median + RAG retrieval median (+ RAG generation median). End-to-end median: 41,726.22 ms. The deterministic stack (input validation, K-voting, physics/code compliance, reverse verification, cross-discipline validator, BM25 retrieval) completes in approximately 1.2 ms per case. The Qwen-family generation step on the on-premises Ollama server adds approximately 42 s …[truncated]</w:t>
            </w:r>
          </w:p>
        </w:tc>
      </w:tr>
      <w:tr>
        <w:tc>
          <w:tcPr>
            <w:tcW w:type="dxa" w:w="576"/>
            <w:shd w:val="clear" w:color="auto" w:fill="E2F0D9"/>
            <w:vAlign w:val="top"/>
          </w:tcPr>
          <w:p>
            <w:r>
              <w:rPr>
                <w:sz w:val="16"/>
              </w:rPr>
              <w:t>56</w:t>
            </w:r>
          </w:p>
        </w:tc>
        <w:tc>
          <w:tcPr>
            <w:tcW w:type="dxa" w:w="2880"/>
            <w:shd w:val="clear" w:color="auto" w:fill="E2F0D9"/>
            <w:vAlign w:val="top"/>
          </w:tcPr>
          <w:p>
            <w:r>
              <w:rPr>
                <w:b/>
                <w:sz w:val="16"/>
              </w:rPr>
              <w:t xml:space="preserve">[NEW] </w:t>
            </w:r>
            <w:r>
              <w:rPr>
                <w:sz w:val="16"/>
              </w:rPr>
              <w:t>B.4 Retrieval failure inventory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Honest disclosure of where retrieval still misses on the 50-query curated benchmark (outputs/retrieval_failure_inventory.md; Enhanced FTS, K=5 threshold; failure rule: failure := first_relevant_rank &gt; 5 OR no relevant hit in top-10; failure count 7/50 = 0.1400): 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p>
        </w:tc>
      </w:tr>
      <w:tr>
        <w:tc>
          <w:tcPr>
            <w:tcW w:type="dxa" w:w="576"/>
            <w:shd w:val="clear" w:color="auto" w:fill="FFF2CC"/>
            <w:vAlign w:val="top"/>
          </w:tcPr>
          <w:p>
            <w:r>
              <w:rPr>
                <w:sz w:val="16"/>
              </w:rPr>
              <w:t>57</w:t>
            </w:r>
          </w:p>
        </w:tc>
        <w:tc>
          <w:tcPr>
            <w:tcW w:type="dxa" w:w="2880"/>
            <w:shd w:val="clear" w:color="auto" w:fill="FFF2CC"/>
            <w:vAlign w:val="top"/>
          </w:tcPr>
          <w:p>
            <w:r>
              <w:rPr>
                <w:b/>
                <w:sz w:val="16"/>
              </w:rPr>
              <w:t xml:space="preserve">[REVISED] </w:t>
            </w:r>
            <w:r>
              <w:rPr>
                <w:sz w:val="16"/>
              </w:rPr>
              <w:t>B.5 Reproducibility</w:t>
            </w:r>
          </w:p>
        </w:tc>
        <w:tc>
          <w:tcPr>
            <w:tcW w:type="dxa" w:w="5760"/>
            <w:shd w:val="clear" w:color="auto" w:fill="FFF2CC"/>
            <w:vAlign w:val="top"/>
          </w:tcPr>
          <w:p>
            <w:r>
              <w:rPr>
                <w:sz w:val="16"/>
              </w:rPr>
              <w:t>(was: 3.3 Generalisability)</w:t>
              <w:br/>
              <w:br/>
              <w:t>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t>
            </w:r>
          </w:p>
        </w:tc>
        <w:tc>
          <w:tcPr>
            <w:tcW w:type="dxa" w:w="5760"/>
            <w:shd w:val="clear" w:color="auto" w:fill="FFF2CC"/>
            <w:vAlign w:val="top"/>
          </w:tcPr>
          <w:p>
            <w:r>
              <w:rPr>
                <w:sz w:val="16"/>
              </w:rPr>
              <w:t>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p>
        </w:tc>
      </w:tr>
      <w:tr>
        <w:tc>
          <w:tcPr>
            <w:tcW w:type="dxa" w:w="576"/>
            <w:shd w:val="clear" w:color="auto" w:fill="FFF2CC"/>
            <w:vAlign w:val="top"/>
          </w:tcPr>
          <w:p>
            <w:r>
              <w:rPr>
                <w:sz w:val="16"/>
              </w:rPr>
              <w:t>58</w:t>
            </w:r>
          </w:p>
        </w:tc>
        <w:tc>
          <w:tcPr>
            <w:tcW w:type="dxa" w:w="2880"/>
            <w:shd w:val="clear" w:color="auto" w:fill="FFF2CC"/>
            <w:vAlign w:val="top"/>
          </w:tcPr>
          <w:p>
            <w:r>
              <w:rPr>
                <w:b/>
                <w:sz w:val="16"/>
              </w:rPr>
              <w:t xml:space="preserve">[REVISED] </w:t>
            </w:r>
            <w:r>
              <w:rPr>
                <w:sz w:val="16"/>
              </w:rPr>
              <w:t>References</w:t>
            </w:r>
          </w:p>
        </w:tc>
        <w:tc>
          <w:tcPr>
            <w:tcW w:type="dxa" w:w="5760"/>
            <w:shd w:val="clear" w:color="auto" w:fill="FFF2CC"/>
            <w:vAlign w:val="top"/>
          </w:tcPr>
          <w:p>
            <w:r>
              <w:rPr>
                <w:sz w:val="16"/>
              </w:rPr>
              <w:t>Ait-Alla, A., Quandt, M., Lütjen, M., Freitag, M., 2022. On Predictive Maintenance in Industry 4.0: Overview, Models, and Challenges. Applied Sciences 12 (16), 8081. Avizienis, A., 1985. The N-version approach to fault-tolerant software. IEEE Trans. Softw. Eng. SE-11 (12), 1491–1501. Elhosary, M. et al., 2024. LLM-assisted HAZOP study using retrieval-augmented generation. IChemE Symposium Series No. 171: Hazards 34. Gao, Y., Xiong, Y., Huang, X. et al., 2024. Retrieval-Augmented Generation for Large Language Models: A Survey. arXiv:2312.10997. Hector, I., Panjanathan, R., 2024. Predictive maintenance in Industry 4.0: a survey of planning models and ML techniques. PeerJ Comput. Sci. 10, e2016. Jones, J.F. et al., 2025. AI for asset integrity management of offshore oil and gas pipelines. Life Cycle Reliability and Safety Engineering. Kim, H., Yi, J.-S., Jang, Y., 2022. Analyzing Patterns of Multi-cause Accidents From KOSHA’s Case Reports Using Text Mining. J. Architectural Institute of Korea 38 (4), 237–244. Klesel, M., Wittmann, H.F., 2025. Retrieval-Augmented Generation (RAG). Bus. Inf. Syst. Eng. 67 (4), 551–561. Lee, J., Ahn, S., 2025. AI Prototype for Construction Safety …[truncated]</w:t>
            </w:r>
          </w:p>
        </w:tc>
        <w:tc>
          <w:tcPr>
            <w:tcW w:type="dxa" w:w="5760"/>
            <w:shd w:val="clear" w:color="auto" w:fill="FFF2CC"/>
            <w:vAlign w:val="top"/>
          </w:tcPr>
          <w:p>
            <w:r>
              <w:rPr>
                <w:sz w:val="16"/>
              </w:rPr>
              <w:t>[1]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 [2] Woo, T., Kim, S., Tariq, S., Heo, S., Yoo, C. (2025). Leveraging Generative AI and Large Language Model for Process Systems Engineering: A State-of-the-Art Review. Korean Journal of Chemical Engineering, 42, 2787-2808. DOI: 10.1007/s11814-025-00524-y [3] Elhosary, M. et al. (2024). LLM-assisted HAZOP study using retrieval-augmented generation. IChemE Symposium Series No. 171: Hazards 34. [4] Walavalkar, V. et al. (2021). Machine Learning and Deep Learning in Chemical Health and Safety: A Systematic Review of Techniques and Applications. ACS Chemical Health &amp; Safety. DOI: 10.1021/acs.chas.0c00075 [5] Lewis, P., Perez, E., Piktus, A. et al. (2020). Retrieval-Augmented Generation for Knowledge-Intensive NLP Tasks. Advances in Neural Information Processing Systems (NeurIPS 2020), 33, 9459-9474. [6] Walker, C., Aslansefat, K., Akram, …[truncated]</w:t>
            </w:r>
          </w:p>
        </w:tc>
      </w:tr>
      <w:tr>
        <w:tc>
          <w:tcPr>
            <w:tcW w:type="dxa" w:w="576"/>
            <w:shd w:val="clear" w:color="auto" w:fill="FBE5D6"/>
            <w:vAlign w:val="top"/>
          </w:tcPr>
          <w:p>
            <w:r>
              <w:rPr>
                <w:sz w:val="16"/>
              </w:rPr>
              <w:t>59</w:t>
            </w:r>
          </w:p>
        </w:tc>
        <w:tc>
          <w:tcPr>
            <w:tcW w:type="dxa" w:w="2880"/>
            <w:shd w:val="clear" w:color="auto" w:fill="FBE5D6"/>
            <w:vAlign w:val="top"/>
          </w:tcPr>
          <w:p>
            <w:r>
              <w:rPr>
                <w:b/>
                <w:sz w:val="16"/>
              </w:rPr>
              <w:t xml:space="preserve">[DELETED] </w:t>
            </w:r>
            <w:r>
              <w:rPr>
                <w:sz w:val="16"/>
              </w:rPr>
              <w:t>Highlights</w:t>
            </w:r>
          </w:p>
        </w:tc>
        <w:tc>
          <w:tcPr>
            <w:tcW w:type="dxa" w:w="5760"/>
            <w:shd w:val="clear" w:color="auto" w:fill="FBE5D6"/>
            <w:vAlign w:val="top"/>
          </w:tcPr>
          <w:p>
            <w:r>
              <w:rPr>
                <w:sz w:val="16"/>
              </w:rPr>
              <w:t>We define the jurisdiction compliance gap between international engineering codes and national safety regulations. A KOSHA-grounded regulatory RAG layer identifies Korean-jurisdiction obligations missed by code-only calculations. Cross-discipline validation blocks 25 additional hazard scenarios in 60 test cases beyond single-domain checks. A four-layer verification model shows implementation-correct performance across 220 synthetic golden cases in seven disciplines. Concept-aware synonym expansion improves Recall@1 from 0.44 to 0.74 and MRR@10 from 0.57 to 0.79 on a curated Korean regulatory benchmark.</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60</w:t>
            </w:r>
          </w:p>
        </w:tc>
        <w:tc>
          <w:tcPr>
            <w:tcW w:type="dxa" w:w="2880"/>
            <w:shd w:val="clear" w:color="auto" w:fill="FBE5D6"/>
            <w:vAlign w:val="top"/>
          </w:tcPr>
          <w:p>
            <w:r>
              <w:rPr>
                <w:b/>
                <w:sz w:val="16"/>
              </w:rPr>
              <w:t xml:space="preserve">[DELETED] </w:t>
            </w:r>
            <w:r>
              <w:rPr>
                <w:sz w:val="16"/>
              </w:rPr>
              <w:t>1.1 Motivation: when code compliance is not enough</w:t>
            </w:r>
          </w:p>
        </w:tc>
        <w:tc>
          <w:tcPr>
            <w:tcW w:type="dxa" w:w="5760"/>
            <w:shd w:val="clear" w:color="auto" w:fill="FBE5D6"/>
            <w:vAlign w:val="top"/>
          </w:tcPr>
          <w:p>
            <w:r>
              <w:rPr>
                <w:sz w:val="16"/>
              </w:rPr>
              <w:t>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 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 We call this structural mismatch a jurisdiction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61</w:t>
            </w:r>
          </w:p>
        </w:tc>
        <w:tc>
          <w:tcPr>
            <w:tcW w:type="dxa" w:w="2880"/>
            <w:shd w:val="clear" w:color="auto" w:fill="FBE5D6"/>
            <w:vAlign w:val="top"/>
          </w:tcPr>
          <w:p>
            <w:r>
              <w:rPr>
                <w:b/>
                <w:sz w:val="16"/>
              </w:rPr>
              <w:t xml:space="preserve">[DELETED] </w:t>
            </w:r>
            <w:r>
              <w:rPr>
                <w:sz w:val="16"/>
              </w:rPr>
              <w:t>1.3 Paper organisation</w:t>
            </w:r>
          </w:p>
        </w:tc>
        <w:tc>
          <w:tcPr>
            <w:tcW w:type="dxa" w:w="5760"/>
            <w:shd w:val="clear" w:color="auto" w:fill="FBE5D6"/>
            <w:vAlign w:val="top"/>
          </w:tcPr>
          <w:p>
            <w:r>
              <w:rPr>
                <w:sz w:val="16"/>
              </w:rPr>
              <w:t>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62</w:t>
            </w:r>
          </w:p>
        </w:tc>
        <w:tc>
          <w:tcPr>
            <w:tcW w:type="dxa" w:w="2880"/>
            <w:shd w:val="clear" w:color="auto" w:fill="FBE5D6"/>
            <w:vAlign w:val="top"/>
          </w:tcPr>
          <w:p>
            <w:r>
              <w:rPr>
                <w:b/>
                <w:sz w:val="16"/>
              </w:rPr>
              <w:t xml:space="preserve">[DELETED] </w:t>
            </w:r>
            <w:r>
              <w:rPr>
                <w:sz w:val="16"/>
              </w:rPr>
              <w:t>3.2 Structural origin</w:t>
            </w:r>
          </w:p>
        </w:tc>
        <w:tc>
          <w:tcPr>
            <w:tcW w:type="dxa" w:w="5760"/>
            <w:shd w:val="clear" w:color="auto" w:fill="FBE5D6"/>
            <w:vAlign w:val="top"/>
          </w:tcPr>
          <w:p>
            <w:r>
              <w:rPr>
                <w:sz w:val="16"/>
              </w:rPr>
              <w:t>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 The gap arises because calculation tools implement only the first layer. The second layer requires access to jurisdiction-specific regulatory knowledge that is external to the calculation engine.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63</w:t>
            </w:r>
          </w:p>
        </w:tc>
        <w:tc>
          <w:tcPr>
            <w:tcW w:type="dxa" w:w="2880"/>
            <w:shd w:val="clear" w:color="auto" w:fill="FBE5D6"/>
            <w:vAlign w:val="top"/>
          </w:tcPr>
          <w:p>
            <w:r>
              <w:rPr>
                <w:b/>
                <w:sz w:val="16"/>
              </w:rPr>
              <w:t xml:space="preserve">[DELETED] </w:t>
            </w:r>
            <w:r>
              <w:rPr>
                <w:sz w:val="16"/>
              </w:rPr>
              <w:t>4.1 Overview</w:t>
            </w:r>
          </w:p>
        </w:tc>
        <w:tc>
          <w:tcPr>
            <w:tcW w:type="dxa" w:w="5760"/>
            <w:shd w:val="clear" w:color="auto" w:fill="FBE5D6"/>
            <w:vAlign w:val="top"/>
          </w:tcPr>
          <w:p>
            <w:r>
              <w:rPr>
                <w:sz w:val="16"/>
              </w:rPr>
              <w:t>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64</w:t>
            </w:r>
          </w:p>
        </w:tc>
        <w:tc>
          <w:tcPr>
            <w:tcW w:type="dxa" w:w="2880"/>
            <w:shd w:val="clear" w:color="auto" w:fill="FBE5D6"/>
            <w:vAlign w:val="top"/>
          </w:tcPr>
          <w:p>
            <w:r>
              <w:rPr>
                <w:b/>
                <w:sz w:val="16"/>
              </w:rPr>
              <w:t xml:space="preserve">[DELETED] </w:t>
            </w:r>
            <w:r>
              <w:rPr>
                <w:sz w:val="16"/>
              </w:rPr>
              <w:t>4.3 Technology constraints</w:t>
            </w:r>
          </w:p>
        </w:tc>
        <w:tc>
          <w:tcPr>
            <w:tcW w:type="dxa" w:w="5760"/>
            <w:shd w:val="clear" w:color="auto" w:fill="FBE5D6"/>
            <w:vAlign w:val="top"/>
          </w:tcPr>
          <w:p>
            <w:r>
              <w:rPr>
                <w:sz w:val="16"/>
              </w:rPr>
              <w:t>All inference runs on-premises using Ollama with Qwen 2.5 7B Instruct (4-bit quantisation, 32,768-token context). No external data transmission occurs. The RAG index uses SQLite FTS5. This design satisfies industrial data-sovereignty requirements.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65</w:t>
            </w:r>
          </w:p>
        </w:tc>
        <w:tc>
          <w:tcPr>
            <w:tcW w:type="dxa" w:w="2880"/>
            <w:shd w:val="clear" w:color="auto" w:fill="FBE5D6"/>
            <w:vAlign w:val="top"/>
          </w:tcPr>
          <w:p>
            <w:r>
              <w:rPr>
                <w:b/>
                <w:sz w:val="16"/>
              </w:rPr>
              <w:t xml:space="preserve">[DELETED] </w:t>
            </w:r>
            <w:r>
              <w:rPr>
                <w:sz w:val="16"/>
              </w:rPr>
              <w:t>6.2 Layer 2 — K-voting consensus</w:t>
            </w:r>
          </w:p>
        </w:tc>
        <w:tc>
          <w:tcPr>
            <w:tcW w:type="dxa" w:w="5760"/>
            <w:shd w:val="clear" w:color="auto" w:fill="FBE5D6"/>
            <w:vAlign w:val="top"/>
          </w:tcPr>
          <w:p>
            <w:r>
              <w:rPr>
                <w:sz w:val="16"/>
              </w:rPr>
              <w:t>Three calculation paths execute in parallel, each using deliberately varied numerical strategies: - Path A: standard rounding order and linear interpolation. - Path B: reversed rounding order and cubic interpolation. - Path C: extended intermediate precision (double the significant figures). The consensus criterion is defined as: Relative Deviation = |Output_i − Output_mean| / Output_mean × 100% 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66</w:t>
            </w:r>
          </w:p>
        </w:tc>
        <w:tc>
          <w:tcPr>
            <w:tcW w:type="dxa" w:w="2880"/>
            <w:shd w:val="clear" w:color="auto" w:fill="FBE5D6"/>
            <w:vAlign w:val="top"/>
          </w:tcPr>
          <w:p>
            <w:r>
              <w:rPr>
                <w:b/>
                <w:sz w:val="16"/>
              </w:rPr>
              <w:t xml:space="preserve">[DELETED] </w:t>
            </w:r>
            <w:r>
              <w:rPr>
                <w:sz w:val="16"/>
              </w:rPr>
              <w:t>8.1 Practical significance of jurisdiction compliance gaps</w:t>
            </w:r>
          </w:p>
        </w:tc>
        <w:tc>
          <w:tcPr>
            <w:tcW w:type="dxa" w:w="5760"/>
            <w:shd w:val="clear" w:color="auto" w:fill="FBE5D6"/>
            <w:vAlign w:val="top"/>
          </w:tcPr>
          <w:p>
            <w:r>
              <w:rPr>
                <w:sz w:val="16"/>
              </w:rPr>
              <w:t>The jurisdiction compliance gap has direct consequences across the plant lifecycle: Design phase: Calculation packages satisfying ASME/API deliverables may miss KOSHA documentation obligations, creating audit risk. Construction phase: Commissioning based solely on international codes may skip Korean regulatory steps. Operation phase: Inspection programs following API 510/570 may not satisfy KOSHA-mandated review triggers. The cost of detecting these gaps at the calculation stage is negligible (a RAG query). The cost of detecting them at regulatory audit—or after an incident—can be severe.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67</w:t>
            </w:r>
          </w:p>
        </w:tc>
        <w:tc>
          <w:tcPr>
            <w:tcW w:type="dxa" w:w="2880"/>
            <w:shd w:val="clear" w:color="auto" w:fill="FBE5D6"/>
            <w:vAlign w:val="top"/>
          </w:tcPr>
          <w:p>
            <w:r>
              <w:rPr>
                <w:b/>
                <w:sz w:val="16"/>
              </w:rPr>
              <w:t xml:space="preserve">[DELETED] </w:t>
            </w:r>
            <w:r>
              <w:rPr>
                <w:sz w:val="16"/>
              </w:rPr>
              <w:t>8.2 K-voting consensus as a verification strategy</w:t>
            </w:r>
          </w:p>
        </w:tc>
        <w:tc>
          <w:tcPr>
            <w:tcW w:type="dxa" w:w="5760"/>
            <w:shd w:val="clear" w:color="auto" w:fill="FBE5D6"/>
            <w:vAlign w:val="top"/>
          </w:tcPr>
          <w:p>
            <w:r>
              <w:rPr>
                <w:sz w:val="16"/>
              </w:rPr>
              <w:t>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68</w:t>
            </w:r>
          </w:p>
        </w:tc>
        <w:tc>
          <w:tcPr>
            <w:tcW w:type="dxa" w:w="2880"/>
            <w:shd w:val="clear" w:color="auto" w:fill="FBE5D6"/>
            <w:vAlign w:val="top"/>
          </w:tcPr>
          <w:p>
            <w:r>
              <w:rPr>
                <w:b/>
                <w:sz w:val="16"/>
              </w:rPr>
              <w:t xml:space="preserve">[DELETED] </w:t>
            </w:r>
            <w:r>
              <w:rPr>
                <w:sz w:val="16"/>
              </w:rPr>
              <w:t>8.4 Comparison with conventional workflows</w:t>
            </w:r>
          </w:p>
        </w:tc>
        <w:tc>
          <w:tcPr>
            <w:tcW w:type="dxa" w:w="5760"/>
            <w:shd w:val="clear" w:color="auto" w:fill="FBE5D6"/>
            <w:vAlign w:val="top"/>
          </w:tcPr>
          <w:p>
            <w:r>
              <w:rPr>
                <w:sz w:val="16"/>
              </w:rPr>
              <w:t>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69</w:t>
            </w:r>
          </w:p>
        </w:tc>
        <w:tc>
          <w:tcPr>
            <w:tcW w:type="dxa" w:w="2880"/>
            <w:shd w:val="clear" w:color="auto" w:fill="FBE5D6"/>
            <w:vAlign w:val="top"/>
          </w:tcPr>
          <w:p>
            <w:r>
              <w:rPr>
                <w:b/>
                <w:sz w:val="16"/>
              </w:rPr>
              <w:t xml:space="preserve">[DELETED] </w:t>
            </w:r>
            <w:r>
              <w:rPr>
                <w:sz w:val="16"/>
              </w:rPr>
              <w:t>8.5 Limitations of the evaluation</w:t>
            </w:r>
          </w:p>
        </w:tc>
        <w:tc>
          <w:tcPr>
            <w:tcW w:type="dxa" w:w="5760"/>
            <w:shd w:val="clear" w:color="auto" w:fill="FBE5D6"/>
            <w:vAlign w:val="top"/>
          </w:tcPr>
          <w:p>
            <w:r>
              <w:rPr>
                <w:sz w:val="16"/>
              </w:rPr>
              <w:t>The golden dataset is entirely synthetic. The retrieval benchmark is curated. The three case studies are illustrative rather than exhaustive. These limitations are inherent to a first-generation proof-of-feasibility system paper and are addressed in Section 9.</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70</w:t>
            </w:r>
          </w:p>
        </w:tc>
        <w:tc>
          <w:tcPr>
            <w:tcW w:type="dxa" w:w="2880"/>
            <w:shd w:val="clear" w:color="auto" w:fill="FBE5D6"/>
            <w:vAlign w:val="top"/>
          </w:tcPr>
          <w:p>
            <w:r>
              <w:rPr>
                <w:b/>
                <w:sz w:val="16"/>
              </w:rPr>
              <w:t xml:space="preserve">[DELETED] </w:t>
            </w:r>
            <w:r>
              <w:rPr>
                <w:sz w:val="16"/>
              </w:rPr>
              <w:t>CRediT Authorship Contribution Statement</w:t>
            </w:r>
          </w:p>
        </w:tc>
        <w:tc>
          <w:tcPr>
            <w:tcW w:type="dxa" w:w="5760"/>
            <w:shd w:val="clear" w:color="auto" w:fill="FBE5D6"/>
            <w:vAlign w:val="top"/>
          </w:tcPr>
          <w:p>
            <w:r>
              <w:rPr>
                <w:sz w:val="16"/>
              </w:rPr>
              <w:t>Yuyong Kim: Conceptualization, Methodology, Software, Validation, Formal analysis, Investigation, Data curation, Writing – original draft, Writing – review &amp; editing, Visualization.</w:t>
            </w:r>
          </w:p>
        </w:tc>
        <w:tc>
          <w:tcPr>
            <w:tcW w:type="dxa" w:w="5760"/>
            <w:shd w:val="clear" w:color="auto" w:fill="FBE5D6"/>
            <w:vAlign w:val="top"/>
          </w:tcPr>
          <w:p>
            <w:r>
              <w:rPr>
                <w:sz w:val="16"/>
              </w:rPr>
              <w:t>— (removed in revision; content typically folded into another section)</w:t>
            </w:r>
          </w:p>
        </w:tc>
      </w:tr>
    </w:tbl>
    <w:sectPr w:rsidR="00FC693F" w:rsidRPr="0006063C" w:rsidSect="00034616">
      <w:pgSz w:w="15840" w:h="12240" w:orient="landscape"/>
      <w:pgMar w:top="850" w:right="680" w:bottom="85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