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2026-05-10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Amyotte, Receiving Editor,</w:t>
      </w:r>
      <w:r>
        <w:t xml:space="preserve"> </w:t>
      </w:r>
      <w:r>
        <w:rPr>
          <w:i/>
          <w:iCs/>
        </w:rPr>
        <w:t xml:space="preserve">Journal of Loss Prevention in the Process Industries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</w:t>
      </w:r>
      <w:r>
        <w:t xml:space="preserve"> </w:t>
      </w:r>
      <w:r>
        <w:t xml:space="preserve">“Detecting Jurisdiction Compliance Gaps in Process Plant Engineering with Regulatory RAG”</w:t>
      </w:r>
      <w:r>
        <w:t xml:space="preserve"> </w:t>
      </w:r>
      <w:r>
        <w:t xml:space="preserve">(title preserved from initial submission)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JLP-D-26-00414. The three reviewers’ detailed comments substantially strengthened the work. Key changes: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 axis added.</w:t>
      </w:r>
      <w:r>
        <w:t xml:space="preserve"> </w:t>
      </w:r>
      <w:r>
        <w:t xml:space="preserve">Industry baseline (</w:t>
      </w:r>
      <w:r>
        <w:t xml:space="preserve">“ASME/API pass = compliance complete”</w:t>
      </w:r>
      <w:r>
        <w:t xml:space="preserve">: 0/3) and four-layer ablation now anchor §6.6 (Tables 7, 7b).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Synthetic framing corrected, real-plant evidence promoted.</w:t>
      </w:r>
      <w:r>
        <w:t xml:space="preserve"> </w:t>
      </w:r>
      <w:r>
        <w:t xml:space="preserve">The 220-case headline is repositioned as</w:t>
      </w:r>
      <w:r>
        <w:t xml:space="preserve"> </w:t>
      </w:r>
      <w:r>
        <w:rPr>
          <w:i/>
          <w:iCs/>
        </w:rPr>
        <w:t xml:space="preserve">implementation verification, not predictive validation</w:t>
      </w:r>
      <w:r>
        <w:t xml:space="preserve">; a new §6.6.3 summarises the anonymised VES-REAL-001 cryogenic flare-drum case (Appendix A), in which Article 266 (flare-path block-valve prohibition) emerges naturally from retrieval.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Claims narrowed to what survives statistical scrutiny.</w:t>
      </w:r>
      <w:r>
        <w:t xml:space="preserve"> </w:t>
      </w:r>
      <w:r>
        <w:t xml:space="preserve">Headline retrieval reduced to Recall@1 and MRR@10 (paired-bootstrap 95% CI excludes zero, n=50, 1000 resamples); Recall@3/</w:t>
      </w:r>
      <w:r>
        <w:t xml:space="preserve">@5</w:t>
      </w:r>
      <w:r>
        <w:t xml:space="preserve"> </w:t>
      </w:r>
      <w:r>
        <w:t xml:space="preserve">are disclosed as not statistically distinguishable from zero. Limitations expanded to eight items.</w:t>
      </w:r>
    </w:p>
    <w:p>
      <w:pPr>
        <w:pStyle w:val="FirstParagraph"/>
      </w:pPr>
      <w:r>
        <w:rPr>
          <w:i/>
          <w:iCs/>
        </w:rPr>
        <w:t xml:space="preserve">Editorial note 1.</w:t>
      </w:r>
      <w:r>
        <w:t xml:space="preserve"> </w:t>
      </w:r>
      <w:r>
        <w:t xml:space="preserve">One headline number was corrected during revision: the cross-discipline ablation now reports</w:t>
      </w:r>
      <w:r>
        <w:t xml:space="preserve"> </w:t>
      </w:r>
      <w:r>
        <w:rPr>
          <w:b/>
          <w:bCs/>
        </w:rPr>
        <w:t xml:space="preserve">26/60 (+0.4333)</w:t>
      </w:r>
      <w:r>
        <w:t xml:space="preserve">, not 25/60, following a duplicate-surplus correction to</w:t>
      </w:r>
      <w:r>
        <w:t xml:space="preserve"> </w:t>
      </w:r>
      <w:r>
        <w:rPr>
          <w:rStyle w:val="VerbatimChar"/>
        </w:rPr>
        <w:t xml:space="preserve">piping_golden_dataset_v1.json</w:t>
      </w:r>
      <w:r>
        <w:t xml:space="preserve"> </w:t>
      </w:r>
      <w:r>
        <w:t xml:space="preserve">flagged during the reproducibility audit. The correction strengthens, not weakens, the evidence.</w:t>
      </w:r>
    </w:p>
    <w:p>
      <w:pPr>
        <w:pStyle w:val="BodyText"/>
      </w:pPr>
      <w:r>
        <w:rPr>
          <w:i/>
          <w:iCs/>
        </w:rPr>
        <w:t xml:space="preserve">Editorial note 2.</w:t>
      </w:r>
      <w:r>
        <w:t xml:space="preserve"> </w:t>
      </w:r>
      <w:r>
        <w:t xml:space="preserve">The revision is extensive enough — word count grew from 4,928 to 12,932 (+162%); 18 sections were added (incl. §6.6, §6.7, §7.2-7.4, §7.6, Appendix A, Appendix B); 21 sections were rewritten — that a conventional word-level marked-up manuscript would be illegible. In its place we provide</w:t>
      </w:r>
      <w:r>
        <w:t xml:space="preserve"> </w:t>
      </w:r>
      <w:r>
        <w:rPr>
          <w:b/>
          <w:bCs/>
        </w:rPr>
        <w:t xml:space="preserve">CHANGE_SUMMARY_TABLE.docx</w:t>
      </w:r>
      <w:r>
        <w:t xml:space="preserve">, which lists every changed section (39 rows) cross-referenced to the triggering reviewer comment, with a per-section description of what was changed; the per-comment author response is in</w:t>
      </w:r>
      <w:r>
        <w:t xml:space="preserve"> </w:t>
      </w:r>
      <w:r>
        <w:rPr>
          <w:b/>
          <w:bCs/>
        </w:rPr>
        <w:t xml:space="preserve">RESPONSE_TO_REVIEWERS_v2.docx</w:t>
      </w:r>
      <w:r>
        <w:t xml:space="preserve">. The clean revised manuscript is</w:t>
      </w:r>
      <w:r>
        <w:t xml:space="preserve"> </w:t>
      </w:r>
      <w:r>
        <w:rPr>
          <w:b/>
          <w:bCs/>
        </w:rPr>
        <w:t xml:space="preserve">PAPER_JLP_REVISED_v3.docx</w:t>
      </w:r>
      <w:r>
        <w:t xml:space="preserve">.</w:t>
      </w:r>
    </w:p>
    <w:p>
      <w:pPr>
        <w:pStyle w:val="BodyText"/>
      </w:pPr>
      <w:r>
        <w:t xml:space="preserve">The revision is reproducible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pass); code, data, and the FTS5 index manifest are released under AGPL-3.0. The manuscript is exclusive to</w:t>
      </w:r>
      <w:r>
        <w:t xml:space="preserve"> </w:t>
      </w:r>
      <w:r>
        <w:rPr>
          <w:i/>
          <w:iCs/>
        </w:rPr>
        <w:t xml:space="preserve">JLP</w:t>
      </w:r>
      <w:r>
        <w:t xml:space="preserve"> </w:t>
      </w:r>
      <w:r>
        <w:t xml:space="preserve">and we declare no conflicts of interest.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Analytics; B.S. Chemical &amp; Biological Engineering; 12+ yr petrochemical EPC.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2026-05-10T04:31:35Z</dcterms:created>
  <dcterms:modified xsi:type="dcterms:W3CDTF">2026-05-10T04:31:35Z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