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sponse-to-reviewers-jlp-d-26-00414"/>
    <w:p>
      <w:pPr>
        <w:pStyle w:val="Heading1"/>
      </w:pPr>
      <w:r>
        <w:t xml:space="preserve">Response to Reviewers — JLP-D-26-00414</w:t>
      </w:r>
    </w:p>
    <w:p>
      <w:pPr>
        <w:pStyle w:val="FirstParagraph"/>
      </w:pPr>
      <w:r>
        <w:rPr>
          <w:b/>
          <w:bCs/>
        </w:rPr>
        <w:t xml:space="preserve">Manuscript title:</w:t>
      </w:r>
      <w:r>
        <w:t xml:space="preserve"> </w:t>
      </w:r>
      <w:r>
        <w:t xml:space="preserve">Detecting Jurisdiction Compliance Gaps in Process Plant Engineering with Regulatory RAG (revised title:</w:t>
      </w:r>
      <w:r>
        <w:t xml:space="preserve"> </w:t>
      </w:r>
      <w:r>
        <w:rPr>
          <w:i/>
          <w:iCs/>
        </w:rPr>
        <w:t xml:space="preserve">Detecting Jurisdiction Compliance Gaps in Process Plant Engineering with Regulatory RAG</w:t>
      </w:r>
      <w:r>
        <w:t xml:space="preserve">)</w:t>
      </w:r>
    </w:p>
    <w:p>
      <w:pPr>
        <w:pStyle w:val="BodyText"/>
      </w:pPr>
      <w:r>
        <w:rPr>
          <w:b/>
          <w:bCs/>
        </w:rPr>
        <w:t xml:space="preserve">To:</w:t>
      </w:r>
      <w:r>
        <w:t xml:space="preserve"> </w:t>
      </w:r>
      <w:r>
        <w:t xml:space="preserve">Prof. Paul Amyotte, Receiving Editor</w:t>
      </w:r>
      <w:r>
        <w:t xml:space="preserve"> </w:t>
      </w:r>
      <w:r>
        <w:rPr>
          <w:b/>
          <w:bCs/>
        </w:rPr>
        <w:t xml:space="preserve">Journal:</w:t>
      </w:r>
      <w:r>
        <w:t xml:space="preserve"> </w:t>
      </w:r>
      <w:r>
        <w:rPr>
          <w:i/>
          <w:iCs/>
        </w:rPr>
        <w:t xml:space="preserve">Journal of Loss Prevention in the Process Industries</w:t>
      </w:r>
      <w:r>
        <w:t xml:space="preserve"> </w:t>
      </w:r>
      <w:r>
        <w:rPr>
          <w:b/>
          <w:bCs/>
        </w:rPr>
        <w:t xml:space="preserve">Date:</w:t>
      </w:r>
      <w:r>
        <w:t xml:space="preserve"> </w:t>
      </w:r>
      <w:r>
        <w:t xml:space="preserve">2026-05-08</w:t>
      </w:r>
    </w:p>
    <w:p>
      <w:pPr>
        <w:pStyle w:val="BodyText"/>
      </w:pPr>
      <w:r>
        <w:t xml:space="preserve">Dear Prof. Amyotte,</w:t>
      </w:r>
    </w:p>
    <w:p>
      <w:pPr>
        <w:pStyle w:val="BodyText"/>
      </w:pPr>
      <w:r>
        <w:t xml:space="preserve">We are grateful for the opportunity to revise our manuscript and we thank the three reviewers for their detailed and constructive comments. The reviewers’ feedback has substantially sharpened the paper. In particular, Reviewer 1’s insistence on a basis for comparison forced us to formalise an industry-baseline benchmark and a four-row internal layer ablation; Reviewer 2’s eight-point critique drove a complete rewrite of the regulatory-basis exposition (mandatory vs guidance), the FFS-vs-EPC subsection, and the method-comparison table; Reviewer 3’s call for a K-voting design rationale prompted §5.4, which we now consider essential to the paper. The revised manuscript is</w:t>
      </w:r>
      <w:r>
        <w:t xml:space="preserve"> </w:t>
      </w:r>
      <w:r>
        <w:rPr>
          <w:rStyle w:val="VerbatimChar"/>
        </w:rPr>
        <w:t xml:space="preserve">docs/publication/PAPER_JLP_REVISED_v3.md</w:t>
      </w:r>
      <w:r>
        <w:t xml:space="preserve"> </w:t>
      </w:r>
      <w:r>
        <w:t xml:space="preserve">and a full per-section/per-comment trace is in</w:t>
      </w:r>
      <w:r>
        <w:t xml:space="preserve"> </w:t>
      </w:r>
      <w:r>
        <w:rPr>
          <w:rStyle w:val="VerbatimChar"/>
        </w:rPr>
        <w:t xml:space="preserve">docs/publication/REVISION_CHANGELOG_JLP.md</w:t>
      </w:r>
      <w:r>
        <w:t xml:space="preserve">.</w:t>
      </w:r>
    </w:p>
    <w:p>
      <w:pPr>
        <w:pStyle w:val="BodyText"/>
      </w:pPr>
      <w:r>
        <w:t xml:space="preserve">In what follows we address every comment from R1, R2, and R3 point by point. Each response (i) acknowledges the specific concern, (ii) states what changed and where, (iii) cites a verifiable artefact (a script, an</w:t>
      </w:r>
      <w:r>
        <w:t xml:space="preserve"> </w:t>
      </w:r>
      <w:r>
        <w:rPr>
          <w:rStyle w:val="VerbatimChar"/>
        </w:rPr>
        <w:t xml:space="preserve">outputs/*.md</w:t>
      </w:r>
      <w:r>
        <w:t xml:space="preserve"> </w:t>
      </w:r>
      <w:r>
        <w:t xml:space="preserve">file, a figure, or a section of the revised manuscript), and (iv) quotes the relevant passage of the revised manuscript verbatim. All numbers cited are recomputed from current code and data; the paper’s headline retrieval claim is now narrowed to Recall@1 and MRR@10, where the paired-bootstrap 95% CI excludes zero, with Recall@3 and Recall@5 reported honestly as point estimates whose CIs include zero.</w:t>
      </w:r>
    </w:p>
    <w:p>
      <w:r>
        <w:pict>
          <v:rect style="width:0;height:1.5pt" o:hralign="center" o:hrstd="t" o:hr="t"/>
        </w:pict>
      </w:r>
    </w:p>
    <w:bookmarkStart w:id="9" w:name="summary-of-revisions"/>
    <w:p>
      <w:pPr>
        <w:pStyle w:val="Heading2"/>
      </w:pPr>
      <w:r>
        <w:t xml:space="preserve">Summary of revisions</w:t>
      </w:r>
    </w:p>
    <w:p>
      <w:pPr>
        <w:pStyle w:val="FirstParagraph"/>
      </w:pPr>
      <w:r>
        <w:rPr>
          <w:b/>
          <w:bCs/>
        </w:rPr>
        <w:t xml:space="preserve">Architecture-level changes.</w:t>
      </w:r>
      <w:r>
        <w:t xml:space="preserve"> </w:t>
      </w:r>
      <w:r>
        <w:t xml:space="preserve">We have restructured the paper around an explicit three-layer architecture (seven calc engines + four-layer hybrid verification including K-voting + KOSHA Regulatory RAG) and moved the</w:t>
      </w:r>
      <w:r>
        <w:t xml:space="preserve"> </w:t>
      </w:r>
      <w:r>
        <w:rPr>
          <w:b/>
          <w:bCs/>
        </w:rPr>
        <w:t xml:space="preserve">jurisdiction compliance gap</w:t>
      </w:r>
      <w:r>
        <w:t xml:space="preserve"> </w:t>
      </w:r>
      <w:r>
        <w:t xml:space="preserve">from a narrative claim to a formally defined construct (§7.1) operationalised by a quantitative ablation (§6.6 Layer A: industry baseline 0/3 vs Regulatory RAG 3/3) and a layer-by-layer ablation (§6.6 Layer B, Table 7b). The system is now consistently positioned as a</w:t>
      </w:r>
      <w:r>
        <w:t xml:space="preserve"> </w:t>
      </w:r>
      <w:r>
        <w:rPr>
          <w:b/>
          <w:bCs/>
        </w:rPr>
        <w:t xml:space="preserve">compliance co-pilot</w:t>
      </w:r>
      <w:r>
        <w:t xml:space="preserve"> </w:t>
      </w:r>
      <w:r>
        <w:t xml:space="preserve">to HAZOP / RBI / Digital Twin (§2.6, §7.2, Table 8), not a replacement; this reframing addresses Reviewer 2’s HAZOP-scope concern directly. K-voting now has a dedicated design-rationale subsection (§5.4) covering the number of paths, the 1% tolerance, and the scope of independence — the three specific items Reviewer 3 asked us to justify.</w:t>
      </w:r>
    </w:p>
    <w:p>
      <w:pPr>
        <w:pStyle w:val="BodyText"/>
      </w:pPr>
      <w:r>
        <w:rPr>
          <w:b/>
          <w:bCs/>
        </w:rPr>
        <w:t xml:space="preserve">Evidence base.</w:t>
      </w:r>
      <w:r>
        <w:t xml:space="preserve"> </w:t>
      </w:r>
      <w:r>
        <w:t xml:space="preserve">We now report seven analyses tied to specific reviewer concerns: (a) 220/220 implementation-verification pass on the golden dataset (§6.1), explicitly framed as</w:t>
      </w:r>
      <w:r>
        <w:t xml:space="preserve"> </w:t>
      </w:r>
      <w:r>
        <w:rPr>
          <w:b/>
          <w:bCs/>
        </w:rPr>
        <w:t xml:space="preserve">implementation verification, not predictive validation</w:t>
      </w:r>
      <w:r>
        <w:t xml:space="preserve"> </w:t>
      </w:r>
      <w:r>
        <w:t xml:space="preserve">per Reviewer 2; (b) a 60-scenario cross-discipline ablation rising from 0/60 to 26/60 (+0.4333) with a per-failure-mode partition of 22/3/1 (</w:t>
      </w:r>
      <w:r>
        <w:rPr>
          <w:rStyle w:val="VerbatimChar"/>
        </w:rPr>
        <w:t xml:space="preserve">outputs/ablation_failure_mode_partition.md</w:t>
      </w:r>
      <w:r>
        <w:t xml:space="preserve">); (c) a 50-query curated retrieval benchmark with paired-bootstrap 95% CIs (</w:t>
      </w:r>
      <w:r>
        <w:rPr>
          <w:rStyle w:val="VerbatimChar"/>
        </w:rPr>
        <w:t xml:space="preserve">outputs/rag_bootstrap_ci_report.md</w:t>
      </w:r>
      <w:r>
        <w:t xml:space="preserve">); (d) an industry-baseline comparison (</w:t>
      </w:r>
      <w:r>
        <w:t xml:space="preserve">“ASME/API pass = compliance complete”</w:t>
      </w:r>
      <w:r>
        <w:t xml:space="preserve">) yielding 0/3 vs 3/3 for the proposed system (Table 7); (e) a four-row internal layer ablation (Table 7b,</w:t>
      </w:r>
      <w:r>
        <w:t xml:space="preserve"> </w:t>
      </w:r>
      <w:r>
        <w:rPr>
          <w:rStyle w:val="VerbatimChar"/>
        </w:rPr>
        <w:t xml:space="preserve">outputs/layer_ablation_report.md</w:t>
      </w:r>
      <w:r>
        <w:t xml:space="preserve">); (f) a verified negative-case run on PIP-GOLD-003 returning 0 mandatory + 10 guidance hits in the top-10 with a generic piping-integrity query (</w:t>
      </w:r>
      <w:r>
        <w:rPr>
          <w:rStyle w:val="VerbatimChar"/>
        </w:rPr>
        <w:t xml:space="preserve">outputs/negative_case_pip_gold_003.md</w:t>
      </w:r>
      <w:r>
        <w:t xml:space="preserve">); and (g) five new figures (system architecture, RAG workflow, cross-discipline coupling, ablation, retrieval metrics) addressing Reviewer 1’s</w:t>
      </w:r>
      <w:r>
        <w:t xml:space="preserve"> </w:t>
      </w:r>
      <w:r>
        <w:t xml:space="preserve">“no figures”</w:t>
      </w:r>
      <w:r>
        <w:t xml:space="preserve"> </w:t>
      </w:r>
      <w:r>
        <w:t xml:space="preserve">finding. Every number in the response letter and the manuscript traces to a file in</w:t>
      </w:r>
      <w:r>
        <w:t xml:space="preserve"> </w:t>
      </w:r>
      <w:r>
        <w:rPr>
          <w:rStyle w:val="VerbatimChar"/>
        </w:rPr>
        <w:t xml:space="preserve">outputs/</w:t>
      </w:r>
      <w:r>
        <w:t xml:space="preserve"> </w:t>
      </w:r>
      <w:r>
        <w:t xml:space="preserve">or</w:t>
      </w:r>
      <w:r>
        <w:t xml:space="preserve"> </w:t>
      </w:r>
      <w:r>
        <w:rPr>
          <w:rStyle w:val="VerbatimChar"/>
        </w:rPr>
        <w:t xml:space="preserve">datasets/</w:t>
      </w:r>
      <w:r>
        <w:t xml:space="preserve">.</w:t>
      </w:r>
    </w:p>
    <w:p>
      <w:pPr>
        <w:pStyle w:val="BodyText"/>
      </w:pPr>
      <w:r>
        <w:rPr>
          <w:b/>
          <w:bCs/>
        </w:rPr>
        <w:t xml:space="preserve">Framing.</w:t>
      </w:r>
      <w:r>
        <w:t xml:space="preserve"> </w:t>
      </w:r>
      <w:r>
        <w:t xml:space="preserve">We have added an Acronyms table and Key Definitions section (per Reviewer 2), an explicit Mandatory-vs-Guidance regulatory class label (§4.3, Table 5), an FFS-vs-EPC subsection (§7.4), the method-comparison table requested verbatim by Reviewer 2 (§7.2 Table 8), a §6.4 Case 3 verbatim Korean text of Article 256 with English working translation alongside, and a sensitivity-analysis paragraph at §6.6 that surfaces — rather than hides — the limited statistical power on Recall@3/Recall@5. All of this is in the canonical revision</w:t>
      </w:r>
      <w:r>
        <w:t xml:space="preserve"> </w:t>
      </w:r>
      <w:r>
        <w:rPr>
          <w:rStyle w:val="VerbatimChar"/>
        </w:rPr>
        <w:t xml:space="preserve">PAPER_JLP_REVISED_v3.md</w:t>
      </w:r>
      <w:r>
        <w:t xml:space="preserve">.</w:t>
      </w:r>
    </w:p>
    <w:p>
      <w:pPr>
        <w:pStyle w:val="BodyText"/>
      </w:pPr>
      <w:r>
        <w:rPr>
          <w:b/>
          <w:bCs/>
        </w:rPr>
        <w:t xml:space="preserve">Peer-reading feedback (added in this revision pass).</w:t>
      </w:r>
      <w:r>
        <w:t xml:space="preserve"> </w:t>
      </w:r>
      <w:r>
        <w:t xml:space="preserve">Three additional Limitations sentences (§8 items 1, 3, 4) were added per peer-reading feedback received during revision preparation, making the implementation-verification-vs-predictive distinction, the piping-vessel coupling concentration, and the K≥3 retrieval CI-includes-zero caveat explicit at the limitations level rather than only inline. The same pass added a query-generation-independence acknowledgement to §6.5, retoned the VES-REAL-001 framing from</w:t>
      </w:r>
      <w:r>
        <w:t xml:space="preserve"> </w:t>
      </w:r>
      <w:r>
        <w:t xml:space="preserve">“dual validation”</w:t>
      </w:r>
      <w:r>
        <w:t xml:space="preserve"> </w:t>
      </w:r>
      <w:r>
        <w:t xml:space="preserve">to pipeline-execution evidence (§A.5/§A.6), and applied the claim-downscaling clauses described above.</w:t>
      </w:r>
    </w:p>
    <w:p>
      <w:r>
        <w:pict>
          <v:rect style="width:0;height:1.5pt" o:hralign="center" o:hrstd="t" o:hr="t"/>
        </w:pict>
      </w:r>
    </w:p>
    <w:bookmarkEnd w:id="9"/>
    <w:bookmarkStart w:id="15" w:name="response-to-reviewer-1"/>
    <w:p>
      <w:pPr>
        <w:pStyle w:val="Heading2"/>
      </w:pPr>
      <w:r>
        <w:t xml:space="preserve">Response to Reviewer 1</w:t>
      </w:r>
    </w:p>
    <w:p>
      <w:pPr>
        <w:pStyle w:val="FirstParagraph"/>
      </w:pPr>
      <w:r>
        <w:t xml:space="preserve">Reviewer 1 found the topic interesting and applicable to industry but raised five connected concerns: (R1.1) absence of comparison against state of the art and process experts, (R1.2) no data presented to support conclusions; insufficient detail on the 25-scenario RQ1 claim, (R1.3) conclusions only show RQ1-style detection without analysing strengths and weaknesses across disciplines, (R1.4) no figures and minimal data; RQ2 lists three gaps without further discussion or comparison, (R1.5) reliance on synthetic data may have produced what we knew the model would find. We address each below.</w:t>
      </w:r>
    </w:p>
    <w:bookmarkStart w:id="10" w:name="Xde9fff80f0a7a42374900387469471b068245b5"/>
    <w:p>
      <w:pPr>
        <w:pStyle w:val="Heading3"/>
      </w:pPr>
      <w:r>
        <w:t xml:space="preserve">Comment R1.1: Comparison against state of the art and process experts</w:t>
      </w:r>
    </w:p>
    <w:p>
      <w:pPr>
        <w:pStyle w:val="BlockText"/>
      </w:pPr>
      <w:r>
        <w:rPr>
          <w:i/>
          <w:iCs/>
        </w:rPr>
        <w:t xml:space="preserve">“Intro sections briefly discuss other AI methods for detecting gaps. I would generally like to see a comparison against the state of the art, but the tool presented here left me wondering how this method compares against process experts that do this assessment now. I think this is worth mentioning, otherwise the findings are presented in a vacuum and I don’t really know how effective the model is.”</w:t>
      </w:r>
    </w:p>
    <w:p>
      <w:pPr>
        <w:pStyle w:val="FirstParagraph"/>
      </w:pPr>
      <w:r>
        <w:rPr>
          <w:b/>
          <w:bCs/>
        </w:rPr>
        <w:t xml:space="preserve">Author response:</w:t>
      </w:r>
      <w:r>
        <w:t xml:space="preserve"> </w:t>
      </w:r>
      <w:r>
        <w:t xml:space="preserve">We thank the reviewer for this concern, which forced us to formalise the comparison axis the original draft lacked. We have added two complementary comparisons in §6.6.</w:t>
      </w:r>
      <w:r>
        <w:t xml:space="preserve"> </w:t>
      </w:r>
      <w:r>
        <w:rPr>
          <w:b/>
          <w:bCs/>
        </w:rPr>
        <w:t xml:space="preserve">Layer A (industry baseline)</w:t>
      </w:r>
      <w:r>
        <w:t xml:space="preserve"> </w:t>
      </w:r>
      <w:r>
        <w:t xml:space="preserve">explicitly encodes the dominant current-practice review rule in Korean EPC piping/vessel work —</w:t>
      </w:r>
      <w:r>
        <w:t xml:space="preserve"> </w:t>
      </w:r>
      <w:r>
        <w:t xml:space="preserve">“ASME/API calculation pass = compliance complete”</w:t>
      </w:r>
      <w:r>
        <w:t xml:space="preserve"> </w:t>
      </w:r>
      <w:r>
        <w:t xml:space="preserve">— which is the rule a process expert applies in the absence of a Korean-jurisdiction overlay. Under that baseline the three case studies of §6.4 yield</w:t>
      </w:r>
      <w:r>
        <w:t xml:space="preserve"> </w:t>
      </w:r>
      <w:r>
        <w:rPr>
          <w:b/>
          <w:bCs/>
        </w:rPr>
        <w:t xml:space="preserve">0/3 detections of the Korean-jurisdiction obligations</w:t>
      </w:r>
      <w:r>
        <w:t xml:space="preserve">; the proposed system yields</w:t>
      </w:r>
      <w:r>
        <w:t xml:space="preserve"> </w:t>
      </w:r>
      <w:r>
        <w:rPr>
          <w:b/>
          <w:bCs/>
        </w:rPr>
        <w:t xml:space="preserve">3/3</w:t>
      </w:r>
      <w:r>
        <w:t xml:space="preserve"> </w:t>
      </w:r>
      <w:r>
        <w:t xml:space="preserve">(Table 7), with the first relevant retrieved rank equal to 1 in all three cases.</w:t>
      </w:r>
      <w:r>
        <w:t xml:space="preserve"> </w:t>
      </w:r>
      <w:r>
        <w:rPr>
          <w:b/>
          <w:bCs/>
        </w:rPr>
        <w:t xml:space="preserve">Layer B (internal layer ablation)</w:t>
      </w:r>
      <w:r>
        <w:t xml:space="preserve"> </w:t>
      </w:r>
      <w:r>
        <w:t xml:space="preserve">decomposes the system into its four configurable layers and shows that the cross-discipline validator and the KOSHA RAG layer are orthogonal — each catches a class of issue the other does not (Table 7b, computed by</w:t>
      </w:r>
      <w:r>
        <w:t xml:space="preserve"> </w:t>
      </w:r>
      <w:r>
        <w:rPr>
          <w:rStyle w:val="VerbatimChar"/>
        </w:rPr>
        <w:t xml:space="preserve">scripts/run_layer_ablation.py</w:t>
      </w:r>
      <w:r>
        <w:t xml:space="preserve">). On the broader question of comparison against another</w:t>
      </w:r>
      <w:r>
        <w:t xml:space="preserve"> </w:t>
      </w:r>
      <w:r>
        <w:rPr>
          <w:b/>
          <w:bCs/>
        </w:rPr>
        <w:t xml:space="preserve">published</w:t>
      </w:r>
      <w:r>
        <w:t xml:space="preserve"> </w:t>
      </w:r>
      <w:r>
        <w:t xml:space="preserve">system that performs the same task (KOSHA-aware, multi-discipline, ASME/API + Korean-statute), §2 and §6.6 now state explicitly that no such system has been reported in the literature; RAGuard [6] is single-domain non-statutory, the Elhosary HAZOP-RAG [3] retrieves historical incidents not statutes, and the LLM-fine-tuning work of [13] does not run engineering calculations. We therefore offer the industry-baseline + internal-ablation pair as the strongest available comparison and acknowledge the limitation honestly in §8.</w:t>
      </w:r>
    </w:p>
    <w:p>
      <w:pPr>
        <w:pStyle w:val="BodyText"/>
      </w:pPr>
      <w:r>
        <w:rPr>
          <w:b/>
          <w:bCs/>
        </w:rPr>
        <w:t xml:space="preserve">Excerpt from revised manuscript</w:t>
      </w:r>
      <w:r>
        <w:t xml:space="preserve"> </w:t>
      </w:r>
      <w:r>
        <w:t xml:space="preserve">(§6.6, Layer A and Layer B):</w:t>
      </w:r>
    </w:p>
    <w:p>
      <w:pPr>
        <w:pStyle w:val="BlockText"/>
      </w:pPr>
      <w:r>
        <w:rPr>
          <w:b/>
          <w:bCs/>
        </w:rPr>
        <w:t xml:space="preserve">Layer A — Industry baseline (</w:t>
      </w:r>
      <w:r>
        <w:rPr>
          <w:b/>
          <w:bCs/>
        </w:rPr>
        <w:t xml:space="preserve">“ASME/API pass = compliance complete”</w:t>
      </w:r>
      <w:r>
        <w:rPr>
          <w:b/>
          <w:bCs/>
        </w:rPr>
        <w:t xml:space="preserve">).</w:t>
      </w:r>
      <w:r>
        <w:t xml:space="preserve"> </w:t>
      </w:r>
      <w:r>
        <w:t xml:space="preserve">The dominant current-practice baseline in Korean EPC piping/vessel review is to declare regulatory compliance complete once the relevant ASME/API calculation passes. Under that baseline the three case studies of §6.4 yield the result in Table 7:</w:t>
      </w:r>
      <w:r>
        <w:t xml:space="preserve"> </w:t>
      </w:r>
      <w:r>
        <w:rPr>
          <w:b/>
          <w:bCs/>
        </w:rPr>
        <w:t xml:space="preserve">0/3 of the Korean-jurisdiction obligations are detected</w:t>
      </w:r>
      <w:r>
        <w:t xml:space="preserve">. The proposed system detects</w:t>
      </w:r>
      <w:r>
        <w:t xml:space="preserve"> </w:t>
      </w:r>
      <w:r>
        <w:rPr>
          <w:b/>
          <w:bCs/>
        </w:rPr>
        <w:t xml:space="preserve">3/3</w:t>
      </w:r>
      <w:r>
        <w:t xml:space="preserve">. The first-relevant retrieval rank is 1 in all three cases.</w:t>
      </w:r>
    </w:p>
    <w:p>
      <w:pPr>
        <w:pStyle w:val="BlockText"/>
      </w:pPr>
      <w:r>
        <w:rPr>
          <w:b/>
          <w:bCs/>
        </w:rPr>
        <w:t xml:space="preserve">Layer B — Internal four-layer ablation.</w:t>
      </w:r>
      <w:r>
        <w:t xml:space="preserve"> </w:t>
      </w:r>
      <w:r>
        <w:t xml:space="preserve">[…] The decomposition shows that the cross-discipline validator and the KOSHA RAG layer carry</w:t>
      </w:r>
      <w:r>
        <w:t xml:space="preserve"> </w:t>
      </w:r>
      <w:r>
        <w:rPr>
          <w:b/>
          <w:bCs/>
        </w:rPr>
        <w:t xml:space="preserve">orthogonal</w:t>
      </w:r>
      <w:r>
        <w:t xml:space="preserve"> </w:t>
      </w:r>
      <w:r>
        <w:t xml:space="preserve">signal: each catches a class of issue the other does not. K-voting is a verification-quality layer that does not, by itself, contribute new detections; its role is to suppress false-positive numerical-precision artefacts that would otherwise pollute the upstream signal.</w:t>
      </w:r>
    </w:p>
    <w:p>
      <w:pPr>
        <w:pStyle w:val="FirstParagraph"/>
      </w:pPr>
      <w:r>
        <w:rPr>
          <w:b/>
          <w:bCs/>
        </w:rPr>
        <w:t xml:space="preserve">Evidence</w:t>
      </w:r>
      <w:r>
        <w:t xml:space="preserve">:</w:t>
      </w:r>
      <w:r>
        <w:t xml:space="preserve"> </w:t>
      </w:r>
      <w:r>
        <w:rPr>
          <w:rStyle w:val="VerbatimChar"/>
        </w:rPr>
        <w:t xml:space="preserve">outputs/layer_ablation_report.md</w:t>
      </w:r>
      <w:r>
        <w:t xml:space="preserve"> </w:t>
      </w:r>
      <w:r>
        <w:t xml:space="preserve">produced by</w:t>
      </w:r>
      <w:r>
        <w:t xml:space="preserve"> </w:t>
      </w:r>
      <w:r>
        <w:rPr>
          <w:rStyle w:val="VerbatimChar"/>
        </w:rPr>
        <w:t xml:space="preserve">scripts/run_layer_ablation.py</w:t>
      </w:r>
      <w:r>
        <w:t xml:space="preserve">;</w:t>
      </w:r>
      <w:r>
        <w:t xml:space="preserve"> </w:t>
      </w:r>
      <w:r>
        <w:rPr>
          <w:rStyle w:val="VerbatimChar"/>
        </w:rPr>
        <w:t xml:space="preserve">outputs/rag_retrieval_report.md</w:t>
      </w:r>
      <w:r>
        <w:t xml:space="preserve"> </w:t>
      </w:r>
      <w:r>
        <w:t xml:space="preserve">(Code-only vs Regulatory RAG, lines 21–26); §6.6 Tables 7 and 7b in</w:t>
      </w:r>
      <w:r>
        <w:t xml:space="preserve"> </w:t>
      </w:r>
      <w:r>
        <w:rPr>
          <w:rStyle w:val="VerbatimChar"/>
        </w:rPr>
        <w:t xml:space="preserve">PAPER_JLP_REVISED_v3.md</w:t>
      </w:r>
      <w:r>
        <w:t xml:space="preserve">.</w:t>
      </w:r>
    </w:p>
    <w:bookmarkEnd w:id="10"/>
    <w:bookmarkStart w:id="11" w:name="X9860cf4d45068b616127726ea2e06a8a4d7e694"/>
    <w:p>
      <w:pPr>
        <w:pStyle w:val="Heading3"/>
      </w:pPr>
      <w:r>
        <w:t xml:space="preserve">Comment R1.2: No data presented; RQ1 25-scenario claim lacks detail (what was predicted, why, are findings significant)</w:t>
      </w:r>
    </w:p>
    <w:p>
      <w:pPr>
        <w:pStyle w:val="BlockText"/>
      </w:pPr>
      <w:r>
        <w:rPr>
          <w:i/>
          <w:iCs/>
        </w:rPr>
        <w:t xml:space="preserve">“There’s no data presented to support the conclusions and limited discussion of the results and the method’s effectiveness. In your RQ1 there’s a claim that the model predicts 25 cross discipline scenarios, but there are no further discussions into the details: what was predicted, why did this model find the scenarios, are they significant findings.”</w:t>
      </w:r>
    </w:p>
    <w:p>
      <w:pPr>
        <w:pStyle w:val="FirstParagraph"/>
      </w:pPr>
      <w:r>
        <w:rPr>
          <w:b/>
          <w:bCs/>
        </w:rPr>
        <w:t xml:space="preserve">Author response:</w:t>
      </w:r>
      <w:r>
        <w:t xml:space="preserve"> </w:t>
      </w:r>
      <w:r>
        <w:t xml:space="preserve">We thank the reviewer; this comment exposed a real gap in the original paper, where the headline number was presented without a per-failure-mode breakdown. We have rebuilt the §6.3 reporting end-to-end. First, the headline number itself was rerun against the current code and data and is now</w:t>
      </w:r>
      <w:r>
        <w:t xml:space="preserve"> </w:t>
      </w:r>
      <w:r>
        <w:rPr>
          <w:b/>
          <w:bCs/>
        </w:rPr>
        <w:t xml:space="preserve">26/60 (not 25/60)</w:t>
      </w:r>
      <w:r>
        <w:t xml:space="preserve">: a fresh re-run on the post-data-drift dataset (</w:t>
      </w:r>
      <w:r>
        <w:rPr>
          <w:rStyle w:val="VerbatimChar"/>
        </w:rPr>
        <w:t xml:space="preserve">piping_golden_dataset_v1.json</w:t>
      </w:r>
      <w:r>
        <w:t xml:space="preserve"> </w:t>
      </w:r>
      <w:r>
        <w:t xml:space="preserve">was replaced after the initial commit with a duplicate-surplus correction) gives 26/60 deterministically across four runs (</w:t>
      </w:r>
      <w:r>
        <w:rPr>
          <w:rStyle w:val="VerbatimChar"/>
        </w:rPr>
        <w:t xml:space="preserve">outputs/cross_discipline_ablation_report.md</w:t>
      </w:r>
      <w:r>
        <w:t xml:space="preserve">;</w:t>
      </w:r>
      <w:r>
        <w:t xml:space="preserve"> </w:t>
      </w:r>
      <w:r>
        <w:rPr>
          <w:rStyle w:val="VerbatimChar"/>
        </w:rPr>
        <w:t xml:space="preserve">build_indices_mixed_random</w:t>
      </w:r>
      <w:r>
        <w:t xml:space="preserve"> </w:t>
      </w:r>
      <w:r>
        <w:t xml:space="preserve">uses fixed seed=112). Second, we now decompose those 26 detections by failure-mode family (</w:t>
      </w:r>
      <w:r>
        <w:rPr>
          <w:rStyle w:val="VerbatimChar"/>
        </w:rPr>
        <w:t xml:space="preserve">outputs/ablation_failure_mode_partition.md</w:t>
      </w:r>
      <w:r>
        <w:t xml:space="preserve">,</w:t>
      </w:r>
      <w:r>
        <w:t xml:space="preserve"> </w:t>
      </w:r>
      <w:r>
        <w:rPr>
          <w:rStyle w:val="VerbatimChar"/>
        </w:rPr>
        <w:t xml:space="preserve">scripts/dump_ablation_hits.py</w:t>
      </w:r>
      <w:r>
        <w:t xml:space="preserve">):</w:t>
      </w:r>
      <w:r>
        <w:t xml:space="preserve"> </w:t>
      </w:r>
      <w:r>
        <w:rPr>
          <w:b/>
          <w:bCs/>
        </w:rPr>
        <w:t xml:space="preserve">22 piping-vessel nozzle-margin (84.6%), 3 electrical-rotating bearing-coupling (11.5%), 1 civil-rotating foundation-vibration (3.8%)</w:t>
      </w:r>
      <w:r>
        <w:t xml:space="preserve">. Third, we now state explicitly</w:t>
      </w:r>
      <w:r>
        <w:t xml:space="preserve"> </w:t>
      </w:r>
      <w:r>
        <w:rPr>
          <w:i/>
          <w:iCs/>
        </w:rPr>
        <w:t xml:space="preserve">why</w:t>
      </w:r>
      <w:r>
        <w:t xml:space="preserve"> </w:t>
      </w:r>
      <w:r>
        <w:t xml:space="preserve">each family fires (e.g., ASME Section VIII allowable nozzle loadings exceeded by piping reaction forces under thermal load — a coupling neither B31.3 nor Section VIII checks in isolation) and</w:t>
      </w:r>
      <w:r>
        <w:t xml:space="preserve"> </w:t>
      </w:r>
      <w:r>
        <w:rPr>
          <w:i/>
          <w:iCs/>
        </w:rPr>
        <w:t xml:space="preserve">what the skew means</w:t>
      </w:r>
      <w:r>
        <w:t xml:space="preserve"> </w:t>
      </w:r>
      <w:r>
        <w:t xml:space="preserve">(the concentration in piping-vessel reflects the construction of the 60-scenario set rather than a property of the validator; expanding the seed set to exercise other coupling families more densely is documented as future work). Fourth, the new Figure 4 visualises per-set blocked counts validator OFF vs ON.</w:t>
      </w:r>
    </w:p>
    <w:p>
      <w:pPr>
        <w:pStyle w:val="BodyText"/>
      </w:pPr>
      <w:r>
        <w:rPr>
          <w:b/>
          <w:bCs/>
        </w:rPr>
        <w:t xml:space="preserve">Excerpt from revised manuscript</w:t>
      </w:r>
      <w:r>
        <w:t xml:space="preserve"> </w:t>
      </w:r>
      <w:r>
        <w:t xml:space="preserve">(§6.3, Significance of detections):</w:t>
      </w:r>
    </w:p>
    <w:p>
      <w:pPr>
        <w:pStyle w:val="BlockText"/>
      </w:pPr>
      <w:r>
        <w:rPr>
          <w:b/>
          <w:bCs/>
        </w:rPr>
        <w:t xml:space="preserve">Significance of detections.</w:t>
      </w:r>
      <w:r>
        <w:t xml:space="preserve"> </w:t>
      </w:r>
      <w:r>
        <w:t xml:space="preserve">Per-failure-mode partition of the 26 blocked scenarios (</w:t>
      </w:r>
      <w:r>
        <w:rPr>
          <w:rStyle w:val="VerbatimChar"/>
        </w:rPr>
        <w:t xml:space="preserve">outputs/ablation_failure_mode_partition.md</w:t>
      </w:r>
      <w:r>
        <w:t xml:space="preserve">, computed by</w:t>
      </w:r>
      <w:r>
        <w:t xml:space="preserve"> </w:t>
      </w:r>
      <w:r>
        <w:rPr>
          <w:rStyle w:val="VerbatimChar"/>
        </w:rPr>
        <w:t xml:space="preserve">scripts/dump_ablation_hits.py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lockText"/>
      </w:pPr>
      <w:r>
        <w:t xml:space="preserve">Detections concentrate in the</w:t>
      </w:r>
      <w:r>
        <w:t xml:space="preserve"> </w:t>
      </w:r>
      <w:r>
        <w:rPr>
          <w:b/>
          <w:bCs/>
        </w:rPr>
        <w:t xml:space="preserve">piping-vessel nozzle margin mismatch</w:t>
      </w:r>
      <w:r>
        <w:t xml:space="preserve"> </w:t>
      </w:r>
      <w:r>
        <w:t xml:space="preserve">family (22/26 = 84.6%): ASME Section VIII allowable nozzle loadings exceeded by piping reaction forces under thermal load — a coupling neither B31.3 nor Section VIII checks in isolation.</w:t>
      </w:r>
    </w:p>
    <w:p>
      <w:pPr>
        <w:pStyle w:val="FirstParagraph"/>
      </w:pPr>
      <w:r>
        <w:rPr>
          <w:b/>
          <w:bCs/>
        </w:rPr>
        <w:t xml:space="preserve">Evidence</w:t>
      </w:r>
      <w:r>
        <w:t xml:space="preserve">:</w:t>
      </w:r>
      <w:r>
        <w:t xml:space="preserve"> </w:t>
      </w:r>
      <w:r>
        <w:rPr>
          <w:rStyle w:val="VerbatimChar"/>
        </w:rPr>
        <w:t xml:space="preserve">outputs/ablation_failure_mode_partition.md</w:t>
      </w:r>
      <w:r>
        <w:t xml:space="preserve"> </w:t>
      </w:r>
      <w:r>
        <w:t xml:space="preserve">(per-row family assignment with blocking codes for all 26 hits);</w:t>
      </w:r>
      <w:r>
        <w:t xml:space="preserve"> </w:t>
      </w:r>
      <w:r>
        <w:rPr>
          <w:rStyle w:val="VerbatimChar"/>
        </w:rPr>
        <w:t xml:space="preserve">outputs/cross_discipline_ablation_report.md</w:t>
      </w:r>
      <w:r>
        <w:t xml:space="preserve">; Figure 4 (</w:t>
      </w:r>
      <w:r>
        <w:rPr>
          <w:rStyle w:val="VerbatimChar"/>
        </w:rPr>
        <w:t xml:space="preserve">docs/publication/figures/fig_4_ablation.png</w:t>
      </w:r>
      <w:r>
        <w:t xml:space="preserve">); §6.3 of</w:t>
      </w:r>
      <w:r>
        <w:t xml:space="preserve"> </w:t>
      </w:r>
      <w:r>
        <w:rPr>
          <w:rStyle w:val="VerbatimChar"/>
        </w:rPr>
        <w:t xml:space="preserve">PAPER_JLP_REVISED_v3.md</w:t>
      </w:r>
      <w:r>
        <w:t xml:space="preserve">.</w:t>
      </w:r>
    </w:p>
    <w:bookmarkEnd w:id="11"/>
    <w:bookmarkStart w:id="12" w:name="X714b65640c7df087b0b606ba9309664227c0f2e"/>
    <w:p>
      <w:pPr>
        <w:pStyle w:val="Heading3"/>
      </w:pPr>
      <w:r>
        <w:t xml:space="preserve">Comment R1.3: Conclusions only show RQ1 detection; are there strengths and weaknesses across disciplines?</w:t>
      </w:r>
    </w:p>
    <w:p>
      <w:pPr>
        <w:pStyle w:val="BlockText"/>
      </w:pPr>
      <w:r>
        <w:rPr>
          <w:i/>
          <w:iCs/>
        </w:rPr>
        <w:t xml:space="preserve">“Conclusions only show that errors can be detected by RQ1, is the model better at predicting particular problems (civil, electrical, etc) are there strengths and weaknesses”</w:t>
      </w:r>
    </w:p>
    <w:p>
      <w:pPr>
        <w:pStyle w:val="FirstParagraph"/>
      </w:pPr>
      <w:r>
        <w:rPr>
          <w:b/>
          <w:bCs/>
        </w:rPr>
        <w:t xml:space="preserve">Author response:</w:t>
      </w:r>
      <w:r>
        <w:t xml:space="preserve"> </w:t>
      </w:r>
      <w:r>
        <w:t xml:space="preserve">We thank the reviewer; this is a fair criticism of the original conclusions. The revised paper reports per-discipline strengths and weaknesses at three levels. (a)</w:t>
      </w:r>
      <w:r>
        <w:t xml:space="preserve"> </w:t>
      </w:r>
      <w:r>
        <w:rPr>
          <w:b/>
          <w:bCs/>
        </w:rPr>
        <w:t xml:space="preserve">Per-coupling-family</w:t>
      </w:r>
      <w:r>
        <w:t xml:space="preserve"> </w:t>
      </w:r>
      <w:r>
        <w:t xml:space="preserve">(§6.3, table above): the validator’s signal is strongest in piping-vessel coupling (22/26 = 84.6%), weakest in civil-rotating (1/26 = 3.8%); we attribute the skew to the seed-set construction and document scenario-set expansion as future work. (b)</w:t>
      </w:r>
      <w:r>
        <w:t xml:space="preserve"> </w:t>
      </w:r>
      <w:r>
        <w:rPr>
          <w:b/>
          <w:bCs/>
        </w:rPr>
        <w:t xml:space="preserve">Per-discipline calculation accuracy</w:t>
      </w:r>
      <w:r>
        <w:t xml:space="preserve"> </w:t>
      </w:r>
      <w:r>
        <w:t xml:space="preserve">(§6.1 Table 2): the 220-case implementation verification is balanced across seven disciplines (Piping 50, Vessel 30, Rotating 30, Electrical 30, Instrumentation 30, Steel 25, Civil 25) and accuracy = 1.0000 across all of them — a property of implementation verification on cases derived from the same standards (we frame this honestly per Reviewer 2’s recommendation: it confirms the implementation, not predictive transfer). (c)</w:t>
      </w:r>
      <w:r>
        <w:t xml:space="preserve"> </w:t>
      </w:r>
      <w:r>
        <w:rPr>
          <w:b/>
          <w:bCs/>
        </w:rPr>
        <w:t xml:space="preserve">Per-regulatory-target retrieval performance</w:t>
      </w:r>
      <w:r>
        <w:t xml:space="preserve"> </w:t>
      </w:r>
      <w:r>
        <w:t xml:space="preserve">(§6.5 Table 6b): the largest enhanced-retrieval gains are on Article 256 (corrosion prevention, +0.20 R@5) and B-M-18 piping life (+0.20 R@5) — exactly the targets where casual Korean terminology diverges most from the formal title; the smallest gain is on C-C-23 RBI (+0.00) where plain BM25 already retrieves all relevant chunks. We have also added an explicit weakness statement in §6.5 (Recall@3 and Recall@5 paired-bootstrap CIs include zero — see also R1.4) and in §8 (synthetic-only data, ten-pair coupling limit, single-jurisdiction).</w:t>
      </w:r>
    </w:p>
    <w:p>
      <w:pPr>
        <w:pStyle w:val="BodyText"/>
      </w:pPr>
      <w:r>
        <w:rPr>
          <w:b/>
          <w:bCs/>
        </w:rPr>
        <w:t xml:space="preserve">Excerpt from revised manuscript</w:t>
      </w:r>
      <w:r>
        <w:t xml:space="preserve"> </w:t>
      </w:r>
      <w:r>
        <w:t xml:space="preserve">(§6.5 Table 6b and surrounding paragraph):</w:t>
      </w:r>
    </w:p>
    <w:p>
      <w:pPr>
        <w:pStyle w:val="BlockText"/>
      </w:pPr>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p>
    <w:p>
      <w:pPr>
        <w:pStyle w:val="FirstParagraph"/>
      </w:pPr>
      <w:r>
        <w:rPr>
          <w:b/>
          <w:bCs/>
        </w:rPr>
        <w:t xml:space="preserve">Evidence</w:t>
      </w:r>
      <w:r>
        <w:t xml:space="preserve">:</w:t>
      </w:r>
      <w:r>
        <w:t xml:space="preserve"> </w:t>
      </w:r>
      <w:r>
        <w:rPr>
          <w:rStyle w:val="VerbatimChar"/>
        </w:rPr>
        <w:t xml:space="preserve">outputs/rag_retrieval_report.md</w:t>
      </w:r>
      <w:r>
        <w:t xml:space="preserve"> </w:t>
      </w:r>
      <w:r>
        <w:t xml:space="preserve">(per-group R@5);</w:t>
      </w:r>
      <w:r>
        <w:t xml:space="preserve"> </w:t>
      </w:r>
      <w:r>
        <w:rPr>
          <w:rStyle w:val="VerbatimChar"/>
        </w:rPr>
        <w:t xml:space="preserve">outputs/ablation_failure_mode_partition.md</w:t>
      </w:r>
      <w:r>
        <w:t xml:space="preserve"> </w:t>
      </w:r>
      <w:r>
        <w:t xml:space="preserve">(per-family decomposition); §6.1 Table 2 + §6.3 + §6.5 Table 6b in</w:t>
      </w:r>
      <w:r>
        <w:t xml:space="preserve"> </w:t>
      </w:r>
      <w:r>
        <w:rPr>
          <w:rStyle w:val="VerbatimChar"/>
        </w:rPr>
        <w:t xml:space="preserve">PAPER_JLP_REVISED_v3.md</w:t>
      </w:r>
      <w:r>
        <w:t xml:space="preserve">.</w:t>
      </w:r>
    </w:p>
    <w:p>
      <w:pPr>
        <w:pStyle w:val="BodyText"/>
      </w:pPr>
      <w:r>
        <w:rPr>
          <w:i/>
          <w:iCs/>
        </w:rPr>
        <w:t xml:space="preserve">Supplementary (post-revision):</w:t>
      </w:r>
      <w:r>
        <w:t xml:space="preserve"> </w:t>
      </w:r>
      <w:r>
        <w:t xml:space="preserve">Appendix B.1 reports the per-discipline calculation accuracy verbatim from</w:t>
      </w:r>
      <w:r>
        <w:t xml:space="preserve"> </w:t>
      </w:r>
      <w:r>
        <w:rPr>
          <w:rStyle w:val="VerbatimChar"/>
        </w:rPr>
        <w:t xml:space="preserve">outputs/per_discipline_accuracy.md</w:t>
      </w:r>
      <w:r>
        <w:t xml:space="preserve">: piping 50/50, vessel 30/30, rotating 30/30, electrical 30/30, instrumentation 30/30, steel 25/25, civil 25/25 — all 1.0000 with red-flag precision and recall both 1.0000 across every discipline. We deliberately surface the caveat that this measures self-consistency rather than external ground-truth fidelity (Limitation 8, §8) so that the uniform accuracy is not over-read.</w:t>
      </w:r>
    </w:p>
    <w:p>
      <w:pPr>
        <w:pStyle w:val="BodyText"/>
      </w:pPr>
      <w:r>
        <w:rPr>
          <w:i/>
          <w:iCs/>
        </w:rPr>
        <w:t xml:space="preserve">Supplementary (claim downscaling, added per peer-reading feedback):</w:t>
      </w:r>
      <w:r>
        <w:t xml:space="preserve"> </w:t>
      </w:r>
      <w:r>
        <w:t xml:space="preserve">The Abstract, §1 contributions, and §9 Conclusion now explicitly state that the cross-discipline evidence is concentrated in piping-vessel coupling (22 of 26 detections) and remains exploratory in the remaining pairs. The</w:t>
      </w:r>
      <w:r>
        <w:t xml:space="preserve"> </w:t>
      </w:r>
      <w:r>
        <w:t xml:space="preserve">“seven-discipline integrated framework”</w:t>
      </w:r>
      <w:r>
        <w:t xml:space="preserve"> </w:t>
      </w:r>
      <w:r>
        <w:t xml:space="preserve">framing is preserved as an architectural claim but no longer presented as evenly validated empirical evidence across all seven disciplines. A new</w:t>
      </w:r>
      <w:r>
        <w:t xml:space="preserve"> </w:t>
      </w:r>
      <w:r>
        <w:rPr>
          <w:b/>
          <w:bCs/>
        </w:rPr>
        <w:t xml:space="preserve">Scope statement</w:t>
      </w:r>
      <w:r>
        <w:t xml:space="preserve"> </w:t>
      </w:r>
      <w:r>
        <w:t xml:space="preserve">in §1 (and a short pre-§7.1 paragraph at the open of §7) makes the</w:t>
      </w:r>
      <w:r>
        <w:t xml:space="preserve"> </w:t>
      </w:r>
      <w:r>
        <w:rPr>
          <w:i/>
          <w:iCs/>
        </w:rPr>
        <w:t xml:space="preserve">framework scope</w:t>
      </w:r>
      <w:r>
        <w:t xml:space="preserve"> </w:t>
      </w:r>
      <w:r>
        <w:t xml:space="preserve">(architecture spanning seven disciplines and four verification layers) explicitly distinct from the</w:t>
      </w:r>
      <w:r>
        <w:t xml:space="preserve"> </w:t>
      </w:r>
      <w:r>
        <w:rPr>
          <w:i/>
          <w:iCs/>
        </w:rPr>
        <w:t xml:space="preserve">validated scope</w:t>
      </w:r>
      <w:r>
        <w:t xml:space="preserve"> </w:t>
      </w:r>
      <w:r>
        <w:t xml:space="preserve">(densest empirical evidence in piping-vessel; the other discipline pairs are exploratory), so a reader cannot misread the architectural seven-discipline claim as uniformly validated empirical coverage.</w:t>
      </w:r>
    </w:p>
    <w:bookmarkEnd w:id="12"/>
    <w:bookmarkStart w:id="13" w:name="X1c18f32351f3c28fee897b8fcd871a861c1aac8"/>
    <w:p>
      <w:pPr>
        <w:pStyle w:val="Heading3"/>
      </w:pPr>
      <w:r>
        <w:t xml:space="preserve">Comment R1.4: No figures; RQ2 three gaps without further discussion; basis for comparison</w:t>
      </w:r>
    </w:p>
    <w:p>
      <w:pPr>
        <w:pStyle w:val="BlockText"/>
      </w:pPr>
      <w:r>
        <w:rPr>
          <w:i/>
          <w:iCs/>
        </w:rPr>
        <w:t xml:space="preserve">“No Figures and minimal data to support conclusions. RQ2 for example lists three gaps detected, but there’s no further discussion, was this expected, is it significant, were any gaps missed? There really needs to be a basis for comparison, otherwise it is difficult for me to accept the results.”</w:t>
      </w:r>
    </w:p>
    <w:p>
      <w:pPr>
        <w:pStyle w:val="FirstParagraph"/>
      </w:pPr>
      <w:r>
        <w:rPr>
          <w:b/>
          <w:bCs/>
        </w:rPr>
        <w:t xml:space="preserve">Author response:</w:t>
      </w:r>
      <w:r>
        <w:t xml:space="preserve"> </w:t>
      </w:r>
      <w:r>
        <w:t xml:space="preserve">We thank the reviewer; this comment drove four substantive additions.</w:t>
      </w:r>
      <w:r>
        <w:t xml:space="preserve"> </w:t>
      </w:r>
      <w:r>
        <w:rPr>
          <w:b/>
          <w:bCs/>
        </w:rPr>
        <w:t xml:space="preserve">(a) Figures.</w:t>
      </w:r>
      <w:r>
        <w:t xml:space="preserve"> </w:t>
      </w:r>
      <w:r>
        <w:t xml:space="preserve">Five figures have been added: Figure 1 (system architecture), Figure 2 (RAG workflow), Figure 3 (cross-discipline coupling logic), Figure 4 (ablation 60-scenario blocked counts validator OFF vs ON), and Figure 5 (Recall and MRR per regulatory target group, Plain vs Enhanced). All five are regenerated from</w:t>
      </w:r>
      <w:r>
        <w:t xml:space="preserve"> </w:t>
      </w:r>
      <w:r>
        <w:rPr>
          <w:rStyle w:val="VerbatimChar"/>
        </w:rPr>
        <w:t xml:space="preserve">scripts/generate_paper_figures.py</w:t>
      </w:r>
      <w:r>
        <w:t xml:space="preserve"> </w:t>
      </w:r>
      <w:r>
        <w:t xml:space="preserve">and the actual numbers (the v3 ablation Figure 4 reflects the corrected 26/+43.3% number, not the older 25/+41.7%).</w:t>
      </w:r>
      <w:r>
        <w:t xml:space="preserve"> </w:t>
      </w:r>
      <w:r>
        <w:rPr>
          <w:b/>
          <w:bCs/>
        </w:rPr>
        <w:t xml:space="preserve">(b) Significance of the three RQ2 gaps.</w:t>
      </w:r>
      <w:r>
        <w:t xml:space="preserve"> </w:t>
      </w:r>
      <w:r>
        <w:t xml:space="preserve">§6.4 now explains, case by case,</w:t>
      </w:r>
      <w:r>
        <w:t xml:space="preserve"> </w:t>
      </w:r>
      <w:r>
        <w:rPr>
          <w:i/>
          <w:iCs/>
        </w:rPr>
        <w:t xml:space="preserve">why each gap matters operationally</w:t>
      </w:r>
      <w:r>
        <w:t xml:space="preserve">: M-69-2012 triggers a documentation obligation that, if skipped, exposes the operator to a PSM-audit finding even on a</w:t>
      </w:r>
      <w:r>
        <w:t xml:space="preserve"> </w:t>
      </w:r>
      <w:r>
        <w:t xml:space="preserve">“very safe”</w:t>
      </w:r>
      <w:r>
        <w:t xml:space="preserve"> </w:t>
      </w:r>
      <w:r>
        <w:t xml:space="preserve">vessel; C-C-23 + B-M-18 add jurisdiction-specific RBI triggers that can fire earlier than the API 510 calendar interval (an under-inspection gap); and Article 256 (mandatory under the Act) imposes a corrosion-prevention duty conditioned on fluid chemistry that ASME B31.3 and API 570 do not encode.</w:t>
      </w:r>
      <w:r>
        <w:t xml:space="preserve"> </w:t>
      </w:r>
      <w:r>
        <w:rPr>
          <w:b/>
          <w:bCs/>
        </w:rPr>
        <w:t xml:space="preserve">(c) Were gaps missed?</w:t>
      </w:r>
      <w:r>
        <w:t xml:space="preserve"> </w:t>
      </w:r>
      <w:r>
        <w:t xml:space="preserve">§6.5 reports per-group Recall@5 (Table 6b): the system retrieves all five regulatory targets at Recall@5 ≥ 0.7000 in Enhanced mode, with Article 256 at 0.7000 (not 1.0000 — three queries in that group still miss the target on the lossy paraphrasings). This is a real weakness and is now stated as such, not hidden.</w:t>
      </w:r>
      <w:r>
        <w:t xml:space="preserve"> </w:t>
      </w:r>
      <w:r>
        <w:rPr>
          <w:b/>
          <w:bCs/>
        </w:rPr>
        <w:t xml:space="preserve">(d) Basis for comparison</w:t>
      </w:r>
      <w:r>
        <w:t xml:space="preserve"> </w:t>
      </w:r>
      <w:r>
        <w:t xml:space="preserve">is addressed by §6.6 Layer A (industry baseline 0/3 vs RAG 3/3) and Layer B (internal layer ablation Table 7b) — see R1.1 above.</w:t>
      </w:r>
    </w:p>
    <w:p>
      <w:pPr>
        <w:pStyle w:val="BodyText"/>
      </w:pPr>
      <w:r>
        <w:rPr>
          <w:b/>
          <w:bCs/>
        </w:rPr>
        <w:t xml:space="preserve">Excerpt from revised manuscript</w:t>
      </w:r>
      <w:r>
        <w:t xml:space="preserve"> </w:t>
      </w:r>
      <w:r>
        <w:t xml:space="preserve">(Figure 4 caption + §6.4 Case 3 Why-this-matters):</w:t>
      </w:r>
    </w:p>
    <w:p>
      <w:pPr>
        <w:pStyle w:val="BlockText"/>
      </w:pPr>
      <w:r>
        <w:rPr>
          <w:i/>
          <w:iCs/>
        </w:rPr>
        <w:t xml:space="preserve">Figure 4. Cross-discipline ablation (60 scenarios): blocked counts by scenario set, validator OFF vs ON. Total rises 0 → 26 (+43.3%); aligned-boundary and aligned-failure subsets rise from 0/n to n/n; mixed sets show partial coverage proportional to coupling density.</w:t>
      </w:r>
    </w:p>
    <w:p>
      <w:pPr>
        <w:pStyle w:val="BlockText"/>
      </w:pPr>
      <w:r>
        <w:t xml:space="preserve">[§6.4 Case 3] The provision is</w:t>
      </w:r>
      <w:r>
        <w:t xml:space="preserve"> </w:t>
      </w:r>
      <w:r>
        <w:rPr>
          <w:b/>
          <w:bCs/>
        </w:rPr>
        <w:t xml:space="preserve">mandatory</w:t>
      </w:r>
      <w:r>
        <w:t xml:space="preserve"> </w:t>
      </w:r>
      <w:r>
        <w:t xml:space="preserve">under the Act. The linkage from calculation context to the obligation is:</w:t>
      </w:r>
      <w:r>
        <w:t xml:space="preserve"> </w:t>
      </w:r>
      <w:r>
        <w:rPr>
          <w:rStyle w:val="VerbatimChar"/>
        </w:rPr>
        <w:t xml:space="preserve">200 ppm Cl⁻ + sour service + carbon steel</w:t>
      </w:r>
      <w:r>
        <w:t xml:space="preserve"> </w:t>
      </w:r>
      <w:r>
        <w:t xml:space="preserve">→ recognised corrosion-aggressive condition → Article 256 corrosion-prevention measures</w:t>
      </w:r>
      <w:r>
        <w:t xml:space="preserve"> </w:t>
      </w:r>
      <w:r>
        <w:rPr>
          <w:b/>
          <w:bCs/>
        </w:rPr>
        <w:t xml:space="preserve">shall</w:t>
      </w:r>
      <w:r>
        <w:t xml:space="preserve"> </w:t>
      </w:r>
      <w:r>
        <w:t xml:space="preserve">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w:t>
      </w:r>
      <w:r>
        <w:t xml:space="preserve"> </w:t>
      </w:r>
      <w:r>
        <w:rPr>
          <w:b/>
          <w:bCs/>
        </w:rPr>
        <w:t xml:space="preserve">jurisdiction compliance gap</w:t>
      </w:r>
      <w:r>
        <w:t xml:space="preserve"> </w:t>
      </w:r>
      <w:r>
        <w:t xml:space="preserve">defined in §7.</w:t>
      </w:r>
    </w:p>
    <w:p>
      <w:pPr>
        <w:pStyle w:val="FirstParagraph"/>
      </w:pPr>
      <w:r>
        <w:rPr>
          <w:b/>
          <w:bCs/>
        </w:rPr>
        <w:t xml:space="preserve">Evidence</w:t>
      </w:r>
      <w:r>
        <w:t xml:space="preserve">:</w:t>
      </w:r>
      <w:r>
        <w:t xml:space="preserve"> </w:t>
      </w:r>
      <w:r>
        <w:rPr>
          <w:rStyle w:val="VerbatimChar"/>
        </w:rPr>
        <w:t xml:space="preserve">docs/publication/figures/fig_1_system_architecture.png</w:t>
      </w:r>
      <w:r>
        <w:t xml:space="preserve"> </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 §6.4 (case-by-case Why-this-matters paragraphs); §6.5 Table 6b (per-group R@5); §6.6 Tables 7 and 7b in</w:t>
      </w:r>
      <w:r>
        <w:t xml:space="preserve"> </w:t>
      </w:r>
      <w:r>
        <w:rPr>
          <w:rStyle w:val="VerbatimChar"/>
        </w:rPr>
        <w:t xml:space="preserve">PAPER_JLP_REVISED_v3.md</w:t>
      </w:r>
      <w:r>
        <w:t xml:space="preserve">.</w:t>
      </w:r>
    </w:p>
    <w:bookmarkEnd w:id="13"/>
    <w:bookmarkStart w:id="14" w:name="X6304ac3b151ca16313cdd36516d444340bf63e6"/>
    <w:p>
      <w:pPr>
        <w:pStyle w:val="Heading3"/>
      </w:pPr>
      <w:r>
        <w:t xml:space="preserve">Comment R1.5: Synthetic-data circularity —</w:t>
      </w:r>
      <w:r>
        <w:t xml:space="preserve"> </w:t>
      </w:r>
      <w:r>
        <w:t xml:space="preserve">“did you find what you knew the model would find?”</w:t>
      </w:r>
    </w:p>
    <w:p>
      <w:pPr>
        <w:pStyle w:val="BlockText"/>
      </w:pPr>
      <w:r>
        <w:rPr>
          <w:i/>
          <w:iCs/>
        </w:rPr>
        <w:t xml:space="preserve">“Relies on synthetic data that could skew the results. Did you find exactly what you know the model would find? This is why I feel a comparison to another methodology is needed.”</w:t>
      </w:r>
    </w:p>
    <w:p>
      <w:pPr>
        <w:pStyle w:val="FirstParagraph"/>
      </w:pPr>
      <w:r>
        <w:rPr>
          <w:b/>
          <w:bCs/>
        </w:rPr>
        <w:t xml:space="preserve">Author response:</w:t>
      </w:r>
      <w:r>
        <w:t xml:space="preserve"> </w:t>
      </w:r>
      <w:r>
        <w:t xml:space="preserve">We thank the reviewer; this is the most fundamental concern in R1’s review and we have addressed it on four fronts in the revised paper.</w:t>
      </w:r>
      <w:r>
        <w:t xml:space="preserve"> </w:t>
      </w:r>
      <w:r>
        <w:rPr>
          <w:b/>
          <w:bCs/>
        </w:rPr>
        <w:t xml:space="preserve">First, framing.</w:t>
      </w:r>
      <w:r>
        <w:t xml:space="preserve"> </w:t>
      </w:r>
      <w:r>
        <w:t xml:space="preserve">§6.1 explicitly reframes the 220/220 result as</w:t>
      </w:r>
      <w:r>
        <w:t xml:space="preserve"> </w:t>
      </w:r>
      <w:r>
        <w:rPr>
          <w:b/>
          <w:bCs/>
        </w:rPr>
        <w:t xml:space="preserve">implementation verification, not predictive validation</w:t>
      </w:r>
      <w:r>
        <w:t xml:space="preserve"> </w:t>
      </w:r>
      <w:r>
        <w:t xml:space="preserve">— the engines are deterministic rule-based calculators evaluated against cases derived from the same standards they implement, so a perfect score confirms that the implementation faithfully encodes the standards,</w:t>
      </w:r>
      <w:r>
        <w:t xml:space="preserve"> </w:t>
      </w:r>
      <w:r>
        <w:rPr>
          <w:i/>
          <w:iCs/>
        </w:rPr>
        <w:t xml:space="preserve">not</w:t>
      </w:r>
      <w:r>
        <w:t xml:space="preserve"> </w:t>
      </w:r>
      <w:r>
        <w:t xml:space="preserve">that the system generalises to plant data outside the calibration distribution. We also relabel §6.1 as</w:t>
      </w:r>
      <w:r>
        <w:t xml:space="preserve"> </w:t>
      </w:r>
      <w:r>
        <w:t xml:space="preserve">“Calculation Accuracy on the Golden Dataset (implementation verification)”</w:t>
      </w:r>
      <w:r>
        <w:t xml:space="preserve"> </w:t>
      </w:r>
      <w:r>
        <w:t xml:space="preserve">and add the same framing to the Conclusion.</w:t>
      </w:r>
      <w:r>
        <w:t xml:space="preserve"> </w:t>
      </w:r>
      <w:r>
        <w:rPr>
          <w:b/>
          <w:bCs/>
        </w:rPr>
        <w:t xml:space="preserve">Second, anti-circularity construction.</w:t>
      </w:r>
      <w:r>
        <w:t xml:space="preserve"> </w:t>
      </w:r>
      <w:r>
        <w:t xml:space="preserve">§6.1 now contains a defence-and-precedent paragraph noting that the test cases are</w:t>
      </w:r>
      <w:r>
        <w:t xml:space="preserve"> </w:t>
      </w:r>
      <w:r>
        <w:rPr>
          <w:i/>
          <w:iCs/>
        </w:rPr>
        <w:t xml:space="preserve">inverted</w:t>
      </w:r>
      <w:r>
        <w:t xml:space="preserve"> </w:t>
      </w:r>
      <w:r>
        <w:t xml:space="preserve">from the regulatory text: each KOSHA RAG target was selected by reading the actual KOSHA clause first and then synthesising a calculation context that should trigger it; the detection therefore grounds in real regulatory obligations even though the calc inputs are constructed. We also note that this construction pattern is established practice in safety-critical AI evaluation (medical-AI synthetic cohorts with known ground-truth labels; autonomous-vehicle simulated scenarios).</w:t>
      </w:r>
      <w:r>
        <w:t xml:space="preserve"> </w:t>
      </w:r>
      <w:r>
        <w:rPr>
          <w:b/>
          <w:bCs/>
        </w:rPr>
        <w:t xml:space="preserve">Third, an empirical negative case.</w:t>
      </w:r>
      <w:r>
        <w:t xml:space="preserve"> </w:t>
      </w:r>
      <w:r>
        <w:t xml:space="preserve">§6.7 now reports a verified negative-case run on</w:t>
      </w:r>
      <w:r>
        <w:t xml:space="preserve"> </w:t>
      </w:r>
      <w:r>
        <w:rPr>
          <w:b/>
          <w:bCs/>
        </w:rPr>
        <w:t xml:space="preserve">PIP-GOLD-003</w:t>
      </w:r>
      <w:r>
        <w:t xml:space="preserve"> </w:t>
      </w:r>
      <w:r>
        <w:t xml:space="preserve">— an SA-312 TP316 ERW line under general (non-corrosive) service (2.013 MPa, 119.5 °C; no chloride or sour-service flag) — using a generic piping-integrity query derived strictly from the case spec (material, NPS, weld-type,</w:t>
      </w:r>
      <w:r>
        <w:t xml:space="preserve"> </w:t>
      </w:r>
      <w:r>
        <w:rPr>
          <w:rStyle w:val="VerbatimChar"/>
        </w:rPr>
        <w:t xml:space="preserve">service_type='general'</w:t>
      </w:r>
      <w:r>
        <w:t xml:space="preserve">, no chloride/sour terms because the case sets neither) through the actual RAG pipeline (</w:t>
      </w:r>
      <w:r>
        <w:rPr>
          <w:rStyle w:val="VerbatimChar"/>
        </w:rPr>
        <w:t xml:space="preserve">scripts/run_negative_case_rag.py</w:t>
      </w:r>
      <w:r>
        <w:t xml:space="preserve">); the system returns</w:t>
      </w:r>
      <w:r>
        <w:t xml:space="preserve"> </w:t>
      </w:r>
      <w:r>
        <w:rPr>
          <w:b/>
          <w:bCs/>
        </w:rPr>
        <w:t xml:space="preserve">0 mandatory + 10 guidance hits in the top-10</w:t>
      </w:r>
      <w:r>
        <w:t xml:space="preserve">, with the top result being</w:t>
      </w:r>
      <w:r>
        <w:t xml:space="preserve"> </w:t>
      </w:r>
      <w:r>
        <w:rPr>
          <w:rStyle w:val="VerbatimChar"/>
        </w:rPr>
        <w:t xml:space="preserve">B-M-18-2026</w:t>
      </w:r>
      <w:r>
        <w:t xml:space="preserve"> </w:t>
      </w:r>
      <w:r>
        <w:t xml:space="preserve">(KOSHA piping life management, guidance class). No mandatory obligation is triggered.</w:t>
      </w:r>
    </w:p>
    <w:p>
      <w:pPr>
        <w:pStyle w:val="BodyText"/>
      </w:pPr>
      <w:r>
        <w:rPr>
          <w:b/>
          <w:bCs/>
        </w:rPr>
        <w:t xml:space="preserve">Note on the secondary query variant in the same evidence file.</w:t>
      </w:r>
      <w:r>
        <w:t xml:space="preserve"> </w:t>
      </w:r>
      <w:r>
        <w:t xml:space="preserve">For full transparency we disclose that</w:t>
      </w:r>
      <w:r>
        <w:t xml:space="preserve"> </w:t>
      </w:r>
      <w:r>
        <w:rPr>
          <w:rStyle w:val="VerbatimChar"/>
        </w:rPr>
        <w:t xml:space="preserve">outputs/negative_case_pip_gold_003.md</w:t>
      </w:r>
      <w:r>
        <w:t xml:space="preserve"> </w:t>
      </w:r>
      <w:r>
        <w:t xml:space="preserve">records a</w:t>
      </w:r>
      <w:r>
        <w:t xml:space="preserve"> </w:t>
      </w:r>
      <w:r>
        <w:rPr>
          <w:i/>
          <w:iCs/>
        </w:rPr>
        <w:t xml:space="preserve">second</w:t>
      </w:r>
      <w:r>
        <w:t xml:space="preserve"> </w:t>
      </w:r>
      <w:r>
        <w:t xml:space="preserve">probe variant labelled</w:t>
      </w:r>
      <w:r>
        <w:t xml:space="preserve"> </w:t>
      </w:r>
      <w:r>
        <w:rPr>
          <w:rStyle w:val="VerbatimChar"/>
        </w:rPr>
        <w:t xml:space="preserve">mirrored_pip047_form_chloride_terms_removed</w:t>
      </w:r>
      <w:r>
        <w:t xml:space="preserve">, which retains the PIP-GOLD-047 query</w:t>
      </w:r>
      <w:r>
        <w:t xml:space="preserve"> </w:t>
      </w:r>
      <w:r>
        <w:rPr>
          <w:i/>
          <w:iCs/>
        </w:rPr>
        <w:t xml:space="preserve">shape</w:t>
      </w:r>
      <w:r>
        <w:t xml:space="preserve"> </w:t>
      </w:r>
      <w:r>
        <w:t xml:space="preserve">— including the literal phrases</w:t>
      </w:r>
      <w:r>
        <w:t xml:space="preserve"> </w:t>
      </w:r>
      <w:r>
        <w:rPr>
          <w:rStyle w:val="VerbatimChar"/>
        </w:rPr>
        <w:t xml:space="preserve">Article 256</w:t>
      </w:r>
      <w:r>
        <w:t xml:space="preserve"> </w:t>
      </w:r>
      <w:r>
        <w:t xml:space="preserve">and</w:t>
      </w:r>
      <w:r>
        <w:t xml:space="preserve"> </w:t>
      </w:r>
      <w:r>
        <w:rPr>
          <w:rStyle w:val="VerbatimChar"/>
        </w:rPr>
        <w:t xml:space="preserve">corrosion prevention</w:t>
      </w:r>
      <w:r>
        <w:t xml:space="preserve"> </w:t>
      </w:r>
      <w:r>
        <w:t xml:space="preserve">— with only the chloride/sour terms removed; that variant retrieves Article 256 at rank 2, and the report’s headline therefore reads</w:t>
      </w:r>
      <w:r>
        <w:t xml:space="preserve"> </w:t>
      </w:r>
      <w:r>
        <w:t xml:space="preserve">“WARNING — at least one query variant returned a</w:t>
      </w:r>
      <w:r>
        <w:t xml:space="preserve"> </w:t>
      </w:r>
      <w:r>
        <w:rPr>
          <w:i/>
          <w:iCs/>
        </w:rPr>
        <w:t xml:space="preserve">mandatory</w:t>
      </w:r>
      <w:r>
        <w:t xml:space="preserve"> </w:t>
      </w:r>
      <w:r>
        <w:t xml:space="preserve">(law_article) hit in its top-10.”</w:t>
      </w:r>
      <w:r>
        <w:t xml:space="preserve"> </w:t>
      </w:r>
      <w:r>
        <w:t xml:space="preserve">We deliberately retained this second variant in the report rather than suppressing it, because it answers a</w:t>
      </w:r>
      <w:r>
        <w:t xml:space="preserve"> </w:t>
      </w:r>
      <w:r>
        <w:rPr>
          <w:i/>
          <w:iCs/>
        </w:rPr>
        <w:t xml:space="preserve">different</w:t>
      </w:r>
      <w:r>
        <w:t xml:space="preserve"> </w:t>
      </w:r>
      <w:r>
        <w:t xml:space="preserve">question from the negative-case test. The two variants separate two questions:</w:t>
      </w:r>
      <w:r>
        <w:t xml:space="preserve"> </w:t>
      </w:r>
      <w:r>
        <w:rPr>
          <w:b/>
          <w:bCs/>
        </w:rPr>
        <w:t xml:space="preserve">(i)</w:t>
      </w:r>
      <w:r>
        <w:t xml:space="preserve"> </w:t>
      </w:r>
      <w:r>
        <w:rPr>
          <w:i/>
          <w:iCs/>
        </w:rPr>
        <w:t xml:space="preserve">Does the system flag a benign case from its own spec?</w:t>
      </w:r>
      <w:r>
        <w:t xml:space="preserve"> </w:t>
      </w:r>
      <w:r>
        <w:t xml:space="preserve">— the negative-case question proper. The correct query for this question is the spec-faithful generic-piping-integrity variant (no terms that the case spec does not assert); the answer is</w:t>
      </w:r>
      <w:r>
        <w:t xml:space="preserve"> </w:t>
      </w:r>
      <w:r>
        <w:rPr>
          <w:b/>
          <w:bCs/>
        </w:rPr>
        <w:t xml:space="preserve">no</w:t>
      </w:r>
      <w:r>
        <w:t xml:space="preserve"> </w:t>
      </w:r>
      <w:r>
        <w:t xml:space="preserve">(0 mandatory in top-10, top result is the guidance-class B-M-18-2026).</w:t>
      </w:r>
      <w:r>
        <w:t xml:space="preserve"> </w:t>
      </w:r>
      <w:r>
        <w:rPr>
          <w:b/>
          <w:bCs/>
        </w:rPr>
        <w:t xml:space="preserve">(ii)</w:t>
      </w:r>
      <w:r>
        <w:t xml:space="preserve"> </w:t>
      </w:r>
      <w:r>
        <w:rPr>
          <w:i/>
          <w:iCs/>
        </w:rPr>
        <w:t xml:space="preserve">Does the system retrieve Article 256 when a query explicitly asks for corrosion-prevention statutes?</w:t>
      </w:r>
      <w:r>
        <w:t xml:space="preserve"> </w:t>
      </w:r>
      <w:r>
        <w:t xml:space="preserve">— a question of retrieval correctness, not negative-case behaviour. The answer is</w:t>
      </w:r>
      <w:r>
        <w:t xml:space="preserve"> </w:t>
      </w:r>
      <w:r>
        <w:rPr>
          <w:b/>
          <w:bCs/>
        </w:rPr>
        <w:t xml:space="preserve">yes</w:t>
      </w:r>
      <w:r>
        <w:t xml:space="preserve"> </w:t>
      </w:r>
      <w:r>
        <w:t xml:space="preserve">(Article 256 at rank 2), which is the</w:t>
      </w:r>
      <w:r>
        <w:t xml:space="preserve"> </w:t>
      </w:r>
      <w:r>
        <w:rPr>
          <w:i/>
          <w:iCs/>
        </w:rPr>
        <w:t xml:space="preserve">desired</w:t>
      </w:r>
      <w:r>
        <w:t xml:space="preserve"> </w:t>
      </w:r>
      <w:r>
        <w:t xml:space="preserve">retrieval behaviour because Article 256 is, in fact, the Korean statute on corrosion prevention and BM25 is responding correctly to the keywords the query supplies. Penalising the system for retrieving Article 256 in response to a query that contains</w:t>
      </w:r>
      <w:r>
        <w:t xml:space="preserve"> </w:t>
      </w:r>
      <w:r>
        <w:t xml:space="preserve">“Article 256”</w:t>
      </w:r>
      <w:r>
        <w:t xml:space="preserve"> </w:t>
      </w:r>
      <w:r>
        <w:t xml:space="preserve">would amount to penalising the system for being a working retriever. The §6.7 negative-case argument concerns (i); the (ii) probe is reported in the same evidence file for honest disclosure, not as a refutation of (i). The (i)/(ii) distinction is now explicitly written into §6.7 of the revised manuscript.</w:t>
      </w:r>
    </w:p>
    <w:p>
      <w:pPr>
        <w:pStyle w:val="BodyText"/>
      </w:pPr>
      <w:r>
        <w:rPr>
          <w:b/>
          <w:bCs/>
        </w:rPr>
        <w:t xml:space="preserve">Fourth, head-to-head comparison.</w:t>
      </w:r>
      <w:r>
        <w:t xml:space="preserve"> </w:t>
      </w:r>
      <w:r>
        <w:t xml:space="preserve">As noted in R1.1, no published KOSHA-aware multi-discipline system exists; we therefore use the industry-baseline + internal-ablation pair (§6.6) as the comparison axis and acknowledge the absence of a third-party head-to-head as a limitation (§8 Limitation 5:</w:t>
      </w:r>
      <w:r>
        <w:t xml:space="preserve"> </w:t>
      </w:r>
      <w:r>
        <w:t xml:space="preserve">“Comparison scope”</w:t>
      </w:r>
      <w:r>
        <w:t xml:space="preserve">). We additionally commit to a prospective study in §8 Future research directions, item (5), comparing system-flagged regulatory obligations against findings of independent KOSHA PSM auditors on the same plant package.</w:t>
      </w:r>
    </w:p>
    <w:p>
      <w:pPr>
        <w:pStyle w:val="BodyText"/>
      </w:pPr>
      <w:r>
        <w:rPr>
          <w:b/>
          <w:bCs/>
        </w:rPr>
        <w:t xml:space="preserve">Excerpt from revised manuscript</w:t>
      </w:r>
      <w:r>
        <w:t xml:space="preserve"> </w:t>
      </w:r>
      <w:r>
        <w:t xml:space="preserve">(§6.1 framing paragraph and §6.7 negative-case paragraph):</w:t>
      </w:r>
    </w:p>
    <w:p>
      <w:pPr>
        <w:pStyle w:val="BlockText"/>
      </w:pPr>
      <w:r>
        <w:t xml:space="preserve">We deliberately frame these results as</w:t>
      </w:r>
      <w:r>
        <w:t xml:space="preserve"> </w:t>
      </w:r>
      <w:r>
        <w:rPr>
          <w:b/>
          <w:bCs/>
        </w:rPr>
        <w:t xml:space="preserve">implementation verification, not predictive validation</w:t>
      </w:r>
      <w:r>
        <w:t xml:space="preserve">,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w:t>
      </w:r>
      <w:r>
        <w:t xml:space="preserve"> </w:t>
      </w:r>
      <w:r>
        <w:rPr>
          <w:i/>
          <w:iCs/>
        </w:rPr>
        <w:t xml:space="preserve">not</w:t>
      </w:r>
      <w:r>
        <w:t xml:space="preserve"> </w:t>
      </w:r>
      <w:r>
        <w:t xml:space="preserve">that the system generalises to plant data outside the calibration distribution. Predictive validation against real plant operating or design records is a separate, higher bar that requires field-pilot deployment (Section 8).</w:t>
      </w:r>
    </w:p>
    <w:p>
      <w:pPr>
        <w:pStyle w:val="BlockText"/>
      </w:pPr>
      <w:r>
        <w:t xml:space="preserve">[§6.7]</w:t>
      </w:r>
      <w:r>
        <w:t xml:space="preserve"> </w:t>
      </w:r>
      <w:r>
        <w:rPr>
          <w:b/>
          <w:bCs/>
        </w:rPr>
        <w:t xml:space="preserve">Negative case (no false-positive flag).</w:t>
      </w:r>
      <w:r>
        <w:t xml:space="preserve"> </w:t>
      </w:r>
      <w:r>
        <w:t xml:space="preserve">[…] Running the actual RAG pipeline against this case using a neutral piping-integrity query (</w:t>
      </w:r>
      <w:r>
        <w:rPr>
          <w:rStyle w:val="VerbatimChar"/>
        </w:rPr>
        <w:t xml:space="preserve">scripts/run_negative_case_rag.py</w:t>
      </w:r>
      <w:r>
        <w:t xml:space="preserve">,</w:t>
      </w:r>
      <w:r>
        <w:t xml:space="preserve"> </w:t>
      </w:r>
      <w:r>
        <w:rPr>
          <w:rStyle w:val="VerbatimChar"/>
        </w:rPr>
        <w:t xml:space="preserve">outputs/negative_case_pip_gold_003.md</w:t>
      </w:r>
      <w:r>
        <w:t xml:space="preserve">), the system returns</w:t>
      </w:r>
      <w:r>
        <w:t xml:space="preserve"> </w:t>
      </w:r>
      <w:r>
        <w:rPr>
          <w:b/>
          <w:bCs/>
        </w:rPr>
        <w:t xml:space="preserve">0 mandatory hits and 10 guidance hits in the top-10</w:t>
      </w:r>
      <w:r>
        <w:t xml:space="preserve">, with the top result being</w:t>
      </w:r>
      <w:r>
        <w:t xml:space="preserve"> </w:t>
      </w:r>
      <w:r>
        <w:rPr>
          <w:rStyle w:val="VerbatimChar"/>
        </w:rPr>
        <w:t xml:space="preserve">B-M-18-2026</w:t>
      </w:r>
      <w:r>
        <w:t xml:space="preserve"> </w:t>
      </w:r>
      <w:r>
        <w:t xml:space="preserve">(KOSHA Technical Regulation for Piping Life Management, guidance class). No jurisdiction-specific mandatory obligation is triggered. This empirically demonstrates that the KOSHA RAG layer is not biased to fire on every input.</w:t>
      </w:r>
    </w:p>
    <w:p>
      <w:pPr>
        <w:pStyle w:val="FirstParagraph"/>
      </w:pPr>
      <w:r>
        <w:rPr>
          <w:b/>
          <w:bCs/>
        </w:rPr>
        <w:t xml:space="preserve">Evidence</w:t>
      </w:r>
      <w:r>
        <w:t xml:space="preserve">:</w:t>
      </w:r>
      <w:r>
        <w:t xml:space="preserve"> </w:t>
      </w:r>
      <w:r>
        <w:rPr>
          <w:rStyle w:val="VerbatimChar"/>
        </w:rPr>
        <w:t xml:space="preserve">outputs/negative_case_pip_gold_003.md</w:t>
      </w:r>
      <w:r>
        <w:t xml:space="preserve"> </w:t>
      </w:r>
      <w:r>
        <w:t xml:space="preserve">produced by</w:t>
      </w:r>
      <w:r>
        <w:t xml:space="preserve"> </w:t>
      </w:r>
      <w:r>
        <w:rPr>
          <w:rStyle w:val="VerbatimChar"/>
        </w:rPr>
        <w:t xml:space="preserve">scripts/run_negative_case_rag.py</w:t>
      </w:r>
      <w:r>
        <w:t xml:space="preserve">;</w:t>
      </w:r>
      <w:r>
        <w:t xml:space="preserve"> </w:t>
      </w:r>
      <w:r>
        <w:rPr>
          <w:rStyle w:val="VerbatimChar"/>
        </w:rPr>
        <w:t xml:space="preserve">datasets/golden_standards/piping_golden_dataset_v1.json:PIP-GOLD-003</w:t>
      </w:r>
      <w:r>
        <w:t xml:space="preserve"> </w:t>
      </w:r>
      <w:r>
        <w:t xml:space="preserve">(verified spec); §6.1 implementation-verification framing; §6.7 negative-case paragraph; §8 Limitations 1 and 5 in</w:t>
      </w:r>
      <w:r>
        <w:t xml:space="preserve"> </w:t>
      </w:r>
      <w:r>
        <w:rPr>
          <w:rStyle w:val="VerbatimChar"/>
        </w:rPr>
        <w:t xml:space="preserve">PAPER_JLP_REVISED_v3.md</w:t>
      </w:r>
      <w:r>
        <w:t xml:space="preserve">.</w:t>
      </w:r>
    </w:p>
    <w:p>
      <w:pPr>
        <w:pStyle w:val="BodyText"/>
      </w:pPr>
      <w:r>
        <w:rPr>
          <w:b/>
          <w:bCs/>
        </w:rPr>
        <w:t xml:space="preserve">Supplement (real-plant pipeline-execution evidence, added in this revision).</w:t>
      </w:r>
      <w:r>
        <w:t xml:space="preserve"> </w:t>
      </w:r>
      <w:r>
        <w:t xml:space="preserve">To address the synthetic-data-only objection with positive evidence rather than only with the framing argument above, we added</w:t>
      </w:r>
      <w:r>
        <w:t xml:space="preserve"> </w:t>
      </w:r>
      <w:r>
        <w:rPr>
          <w:b/>
          <w:bCs/>
        </w:rPr>
        <w:t xml:space="preserve">Appendix A — Real-Plant Data-Sheet Validation (VES-REAL-001)</w:t>
      </w:r>
      <w:r>
        <w:t xml:space="preserve"> </w:t>
      </w:r>
      <w:r>
        <w:t xml:space="preserve">to the manuscript. VES-REAL-001 is an anonymised cryogenic flare knockout drum (SA-240 304/304L, 0.343 MPa(g) + Full Vacuum, 190 °C / -190 °C, ID 5,000 mm, T-T 20,400 mm) drawn from an operating petrochemical project; all client/contractor/licensor/personnel/location/document-ID identifiers were stripped before inclusion. Running the unmodified pipeline produces a deterministic UG-27 controlling thickness of</w:t>
      </w:r>
      <w:r>
        <w:t xml:space="preserve"> </w:t>
      </w:r>
      <w:r>
        <w:rPr>
          <w:b/>
          <w:bCs/>
        </w:rPr>
        <w:t xml:space="preserve">7.237 mm</w:t>
      </w:r>
      <w:r>
        <w:t xml:space="preserve"> </w:t>
      </w:r>
      <w:r>
        <w:t xml:space="preserve">at the +190 °C side (engine confidence</w:t>
      </w:r>
      <w:r>
        <w:t xml:space="preserve"> </w:t>
      </w:r>
      <w:r>
        <w:rPr>
          <w:rStyle w:val="VerbatimChar"/>
        </w:rPr>
        <w:t xml:space="preserve">medium</w:t>
      </w:r>
      <w:r>
        <w:t xml:space="preserve">, no red flags) and a KOSHA RAG retrieval that, on the spec-faithful query, returns</w:t>
      </w:r>
      <w:r>
        <w:t xml:space="preserve"> </w:t>
      </w:r>
      <w:r>
        <w:rPr>
          <w:b/>
          <w:bCs/>
        </w:rPr>
        <w:t xml:space="preserve">2 mandatory law-article hits + 8 KOSHA technical guides</w:t>
      </w:r>
      <w:r>
        <w:t xml:space="preserve"> </w:t>
      </w:r>
      <w:r>
        <w:t xml:space="preserve">in the top-10 (top-1 guidance:</w:t>
      </w:r>
      <w:r>
        <w:t xml:space="preserve"> </w:t>
      </w:r>
      <w:r>
        <w:rPr>
          <w:rStyle w:val="VerbatimChar"/>
        </w:rPr>
        <w:t xml:space="preserve">M-111-2015</w:t>
      </w:r>
      <w:r>
        <w:t xml:space="preserve"> </w:t>
      </w:r>
      <w:r>
        <w:t xml:space="preserve">Pressure Vessel Weld Design Technical Guide; rank-2 mandatory: 안전검사 고시 제9조). A narrower Korean-term probe additionally surfaces</w:t>
      </w:r>
      <w:r>
        <w:t xml:space="preserve"> </w:t>
      </w:r>
      <w:r>
        <w:rPr>
          <w:b/>
          <w:bCs/>
        </w:rPr>
        <w:t xml:space="preserve">Article 266</w:t>
      </w:r>
      <w:r>
        <w:t xml:space="preserve"> </w:t>
      </w:r>
      <w:r>
        <w:t xml:space="preserve">of the</w:t>
      </w:r>
      <w:r>
        <w:t xml:space="preserve"> </w:t>
      </w:r>
      <w:r>
        <w:rPr>
          <w:i/>
          <w:iCs/>
        </w:rPr>
        <w:t xml:space="preserve">Rules on Occupational Safety and Health Standards</w:t>
      </w:r>
      <w:r>
        <w:t xml:space="preserve"> </w:t>
      </w:r>
      <w:r>
        <w:t xml:space="preserve">(block-valve prohibition on flare and relief paths) at rank 5. The full evidence is reproducible from</w:t>
      </w:r>
      <w:r>
        <w:t xml:space="preserve"> </w:t>
      </w:r>
      <w:r>
        <w:rPr>
          <w:rStyle w:val="VerbatimChar"/>
        </w:rPr>
        <w:t xml:space="preserve">scripts/run_real_case_ves001_rag.py</w:t>
      </w:r>
      <w:r>
        <w:t xml:space="preserve"> </w:t>
      </w:r>
      <w:r>
        <w:t xml:space="preserve">→</w:t>
      </w:r>
      <w:r>
        <w:t xml:space="preserve"> </w:t>
      </w:r>
      <w:r>
        <w:rPr>
          <w:rStyle w:val="VerbatimChar"/>
        </w:rPr>
        <w:t xml:space="preserve">outputs/real_case_ves001_rag.{json,md}</w:t>
      </w:r>
      <w:r>
        <w:t xml:space="preserve">. We position this as</w:t>
      </w:r>
      <w:r>
        <w:t xml:space="preserve"> </w:t>
      </w:r>
      <w:r>
        <w:rPr>
          <w:b/>
          <w:bCs/>
        </w:rPr>
        <w:t xml:space="preserve">synthetic golden cases + real-plant pipeline-execution evidence</w:t>
      </w:r>
      <w:r>
        <w:t xml:space="preserve"> </w:t>
      </w:r>
      <w:r>
        <w:t xml:space="preserve">rather than dual external validation: the appendix demonstrates that the engine and the retrieval pipeline run cleanly on a real EPC data sheet and surface a jurisdiction-relevant mandatory provision, but it does not constitute external accuracy validation against an independently audited reference (the data sheet supplies design inputs but no independently measured outputs). Predictive validation against real failure outcomes remains the open future-work item (§8 Limitation 1).</w:t>
      </w:r>
    </w:p>
    <w:p>
      <w:pPr>
        <w:pStyle w:val="BodyText"/>
      </w:pPr>
      <w:r>
        <w:rPr>
          <w:i/>
          <w:iCs/>
        </w:rPr>
        <w:t xml:space="preserve">On the question of independent expert validation:</w:t>
      </w:r>
      <w:r>
        <w:t xml:space="preserve"> </w:t>
      </w:r>
      <w:r>
        <w:t xml:space="preserve">The principal author is a process plant engineer with 12+ years of petrochemical EPC experience; the calculation-engine rules and the case construction encode that domain practice. We deliberately do not claim that this constitutes independent validation — that requires a disjoint expert panel and is documented as Limitation 7 (§8) and as a prospective future-work item against external KOSHA PSM auditors.</w:t>
      </w:r>
    </w:p>
    <w:p>
      <w:pPr>
        <w:pStyle w:val="BodyText"/>
      </w:pPr>
      <w:r>
        <w:rPr>
          <w:i/>
          <w:iCs/>
        </w:rPr>
        <w:t xml:space="preserve">On the question of benchmark construction independence (extended in this revision pass):</w:t>
      </w:r>
      <w:r>
        <w:t xml:space="preserve"> </w:t>
      </w:r>
      <w:r>
        <w:t xml:space="preserve">Beyond the query-set authorship caveat already discussed under R2.3, §6.1 now carries an explicit</w:t>
      </w:r>
      <w:r>
        <w:t xml:space="preserve"> </w:t>
      </w:r>
      <w:r>
        <w:rPr>
          <w:b/>
          <w:bCs/>
        </w:rPr>
        <w:t xml:space="preserve">Benchmark construction independence — known limitation</w:t>
      </w:r>
      <w:r>
        <w:t xml:space="preserve"> </w:t>
      </w:r>
      <w:r>
        <w:t xml:space="preserve">paragraph acknowledging that all three synthetic case datasets (220 golden cases per §6.1, 60 cross-discipline scenarios per §6.3, and 50 retrieval queries per §6.5) were constructed by the system author. We do not claim independent field generalization; the benchmarks were designed to exercise architectural coverage and are released in full so that any reader can construct an independent benchmark and rerun. Independent third-party benchmark construction is documented as future work (§8 Limitation 7), aligning the synthetic-case bias acknowledgement with the query-bias acknowledgement under R2.3.</w:t>
      </w:r>
    </w:p>
    <w:p>
      <w:r>
        <w:pict>
          <v:rect style="width:0;height:1.5pt" o:hralign="center" o:hrstd="t" o:hr="t"/>
        </w:pict>
      </w:r>
    </w:p>
    <w:bookmarkEnd w:id="14"/>
    <w:bookmarkEnd w:id="15"/>
    <w:bookmarkStart w:id="24" w:name="response-to-reviewer-2"/>
    <w:p>
      <w:pPr>
        <w:pStyle w:val="Heading2"/>
      </w:pPr>
      <w:r>
        <w:t xml:space="preserve">Response to Reviewer 2</w:t>
      </w:r>
    </w:p>
    <w:p>
      <w:pPr>
        <w:pStyle w:val="FirstParagraph"/>
      </w:pPr>
      <w:r>
        <w:t xml:space="preserve">Reviewer 2 endorsed the topic as</w:t>
      </w:r>
      <w:r>
        <w:t xml:space="preserve"> </w:t>
      </w:r>
      <w:r>
        <w:rPr>
          <w:i/>
          <w:iCs/>
        </w:rPr>
        <w:t xml:space="preserve">“highly aligned with modern challenges in digitalisation, PSM compliance, and multi-standard environments”</w:t>
      </w:r>
      <w:r>
        <w:t xml:space="preserve"> </w:t>
      </w:r>
      <w:r>
        <w:t xml:space="preserve">and identified eight items requiring strengthening before publication. We address each below in the order of the attached review note.</w:t>
      </w:r>
    </w:p>
    <w:bookmarkStart w:id="16" w:name="X879a4257ae676e81674da0f3f631dac7e809e65"/>
    <w:p>
      <w:pPr>
        <w:pStyle w:val="Heading3"/>
      </w:pPr>
      <w:r>
        <w:t xml:space="preserve">Comment R2.1: Clarification and strengthening of the regulatory basis (KOSHA relevance)</w:t>
      </w:r>
    </w:p>
    <w:p>
      <w:pPr>
        <w:pStyle w:val="BlockText"/>
      </w:pPr>
      <w:r>
        <w:rPr>
          <w:i/>
          <w:iCs/>
        </w:rPr>
        <w:t xml:space="preserve">“While the manuscript clearly references KOSHA guidance (e.g., M-69-2012, C-C-23-2026, Article 256), the link between engineering outputs and regulatory obligations should be made more explicit. The authors should: provide clause-level citations and short extracts where possible; clarify whether requirements are mandatory vs guidance; demonstrate more explicitly how each obligation is not already covered in standard EPC workflows.”</w:t>
      </w:r>
    </w:p>
    <w:p>
      <w:pPr>
        <w:pStyle w:val="FirstParagraph"/>
      </w:pPr>
      <w:r>
        <w:rPr>
          <w:b/>
          <w:bCs/>
        </w:rPr>
        <w:t xml:space="preserve">Author response:</w:t>
      </w:r>
      <w:r>
        <w:t xml:space="preserve"> </w:t>
      </w:r>
      <w:r>
        <w:t xml:space="preserve">We thank the reviewer for this comment, which structured §4 of the revised paper. We have addressed the three sub-requests directly.</w:t>
      </w:r>
      <w:r>
        <w:t xml:space="preserve"> </w:t>
      </w:r>
      <w:r>
        <w:rPr>
          <w:b/>
          <w:bCs/>
        </w:rPr>
        <w:t xml:space="preserve">(a) Clause-level citations and short extracts.</w:t>
      </w:r>
      <w:r>
        <w:t xml:space="preserve"> </w:t>
      </w:r>
      <w:r>
        <w:t xml:space="preserve">§6.4 Case 3 now reproduces the</w:t>
      </w:r>
      <w:r>
        <w:t xml:space="preserve"> </w:t>
      </w:r>
      <w:r>
        <w:rPr>
          <w:b/>
          <w:bCs/>
        </w:rPr>
        <w:t xml:space="preserve">verbatim Korean text of Article 256</w:t>
      </w:r>
      <w:r>
        <w:t xml:space="preserve"> </w:t>
      </w:r>
      <w:r>
        <w:t xml:space="preserve">with an English working translation alongside (the Korean is preserved exactly as it appears in the National Law Information Center and in the system’s UTF-8 SQLite index). For each retrieved KOSHA Guide reference (M-69-2012, C-C-23-2026, B-M-18-2026, C-C-75-2026), Table 5 carries the source title in English; per-passage citations resolve to a</w:t>
      </w:r>
      <w:r>
        <w:t xml:space="preserve"> </w:t>
      </w:r>
      <w:r>
        <w:rPr>
          <w:rStyle w:val="VerbatimChar"/>
        </w:rPr>
        <w:t xml:space="preserve">(reference_code, chunk_id)</w:t>
      </w:r>
      <w:r>
        <w:t xml:space="preserve"> </w:t>
      </w:r>
      <w:r>
        <w:t xml:space="preserve">tuple traceable to the index.</w:t>
      </w:r>
      <w:r>
        <w:t xml:space="preserve"> </w:t>
      </w:r>
      <w:r>
        <w:rPr>
          <w:b/>
          <w:bCs/>
        </w:rPr>
        <w:t xml:space="preserve">(b) Mandatory vs guidance.</w:t>
      </w:r>
      <w:r>
        <w:t xml:space="preserve"> </w:t>
      </w:r>
      <w:r>
        <w:t xml:space="preserve">§4.3 now formalises a two-class regulatory-class label attached to every retrieved passage:</w:t>
      </w:r>
      <w:r>
        <w:t xml:space="preserve"> </w:t>
      </w:r>
      <w:r>
        <w:rPr>
          <w:rStyle w:val="VerbatimChar"/>
        </w:rPr>
        <w:t xml:space="preserve">mandatory</w:t>
      </w:r>
      <w:r>
        <w:t xml:space="preserve"> </w:t>
      </w:r>
      <w:r>
        <w:t xml:space="preserve">(provisions of the Act / Enforcement Decree / Rules on Occupational Safety and Health Standards — non-fulfilment exposes the operator to administrative or criminal liability) versus</w:t>
      </w:r>
      <w:r>
        <w:t xml:space="preserve"> </w:t>
      </w:r>
      <w:r>
        <w:rPr>
          <w:rStyle w:val="VerbatimChar"/>
        </w:rPr>
        <w:t xml:space="preserve">guidance</w:t>
      </w:r>
      <w:r>
        <w:t xml:space="preserve"> </w:t>
      </w:r>
      <w:r>
        <w:t xml:space="preserve">(KOSHA technical guidelines — not legally binding by themselves but routinely incorporated by reference into PSM submission packages). The label is derived from</w:t>
      </w:r>
      <w:r>
        <w:t xml:space="preserve"> </w:t>
      </w:r>
      <w:r>
        <w:rPr>
          <w:rStyle w:val="VerbatimChar"/>
        </w:rPr>
        <w:t xml:space="preserve">source_type</w:t>
      </w:r>
      <w:r>
        <w:t xml:space="preserve"> </w:t>
      </w:r>
      <w:r>
        <w:t xml:space="preserve">in the parsing pipeline (</w:t>
      </w:r>
      <w:r>
        <w:rPr>
          <w:rStyle w:val="VerbatimChar"/>
        </w:rPr>
        <w:t xml:space="preserve">law_article</w:t>
      </w:r>
      <w:r>
        <w:t xml:space="preserve"> </w:t>
      </w:r>
      <w:r>
        <w:t xml:space="preserve">→ mandatory;</w:t>
      </w:r>
      <w:r>
        <w:t xml:space="preserve"> </w:t>
      </w:r>
      <w:r>
        <w:rPr>
          <w:rStyle w:val="VerbatimChar"/>
        </w:rPr>
        <w:t xml:space="preserve">guide_section</w:t>
      </w:r>
      <w:r>
        <w:t xml:space="preserve"> </w:t>
      </w:r>
      <w:r>
        <w:t xml:space="preserve">/</w:t>
      </w:r>
      <w:r>
        <w:t xml:space="preserve"> </w:t>
      </w:r>
      <w:r>
        <w:rPr>
          <w:rStyle w:val="VerbatimChar"/>
        </w:rPr>
        <w:t xml:space="preserve">guide_chunk</w:t>
      </w:r>
      <w:r>
        <w:t xml:space="preserve"> </w:t>
      </w:r>
      <w:r>
        <w:t xml:space="preserve">→ guidance) and is</w:t>
      </w:r>
      <w:r>
        <w:t xml:space="preserve"> </w:t>
      </w:r>
      <w:r>
        <w:rPr>
          <w:b/>
          <w:bCs/>
        </w:rPr>
        <w:t xml:space="preserve">not inferred by the LLM</w:t>
      </w:r>
      <w:r>
        <w:t xml:space="preserve">. Article 256 is mandatory; the four KOSHA Guides cited are guidance. Table 5 surfaces this label explicitly.</w:t>
      </w:r>
      <w:r>
        <w:t xml:space="preserve"> </w:t>
      </w:r>
      <w:r>
        <w:rPr>
          <w:b/>
          <w:bCs/>
        </w:rPr>
        <w:t xml:space="preserve">(c) Why standard EPC workflows do not cover these.</w:t>
      </w:r>
      <w:r>
        <w:t xml:space="preserve"> </w:t>
      </w:r>
      <w:r>
        <w:t xml:space="preserve">§4.4 is a new subsection explaining that a standard EPC piping/vessel package demonstrates compliance with the relevant ASME/API code by tabulating calculated thicknesses, allowable stresses, and inspection intervals against code limits — review is by discipline leads who are expert in their international code but not, in general, expert in the Korean</w:t>
      </w:r>
      <w:r>
        <w:t xml:space="preserve"> </w:t>
      </w:r>
      <w:r>
        <w:rPr>
          <w:i/>
          <w:iCs/>
        </w:rPr>
        <w:t xml:space="preserve">Rules on Occupational Safety and Health Standards</w:t>
      </w:r>
      <w:r>
        <w:t xml:space="preserv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pPr>
        <w:pStyle w:val="BodyText"/>
      </w:pPr>
      <w:r>
        <w:rPr>
          <w:b/>
          <w:bCs/>
        </w:rPr>
        <w:t xml:space="preserve">Excerpt from revised manuscript</w:t>
      </w:r>
      <w:r>
        <w:t xml:space="preserve"> </w:t>
      </w:r>
      <w:r>
        <w:t xml:space="preserve">(§4.3 + §4.4):</w:t>
      </w:r>
    </w:p>
    <w:p>
      <w:pPr>
        <w:pStyle w:val="BlockText"/>
      </w:pPr>
      <w:r>
        <w:t xml:space="preserve">[§4.3] We distinguish two categories throughout this paper:</w:t>
      </w:r>
    </w:p>
    <w:p>
      <w:pPr>
        <w:pStyle w:val="Compact"/>
        <w:numPr>
          <w:ilvl w:val="0"/>
          <w:numId w:val="1001"/>
        </w:numPr>
      </w:pPr>
      <w:r>
        <w:rPr>
          <w:b/>
          <w:bCs/>
        </w:rPr>
        <w:t xml:space="preserve">Mandatory</w:t>
      </w:r>
      <w:r>
        <w:t xml:space="preserve"> </w:t>
      </w:r>
      <w:r>
        <w:t xml:space="preserve">(</w:t>
      </w:r>
      <w:r>
        <w:rPr>
          <w:rStyle w:val="VerbatimChar"/>
        </w:rPr>
        <w:t xml:space="preserve">mandatory</w:t>
      </w:r>
      <w:r>
        <w:t xml:space="preserve">): provisions of</w:t>
      </w:r>
      <w:r>
        <w:t xml:space="preserve"> </w:t>
      </w:r>
      <w:r>
        <w:rPr>
          <w:i/>
          <w:iCs/>
        </w:rPr>
        <w:t xml:space="preserve">the Act</w:t>
      </w:r>
      <w:r>
        <w:t xml:space="preserve"> </w:t>
      </w:r>
      <w:r>
        <w:t xml:space="preserve">(</w:t>
      </w:r>
      <w:r>
        <w:rPr>
          <w:rStyle w:val="VerbatimChar"/>
        </w:rPr>
        <w:t xml:space="preserve">산업안전보건법</w:t>
      </w:r>
      <w:r>
        <w:t xml:space="preserve">),</w:t>
      </w:r>
      <w:r>
        <w:t xml:space="preserve"> </w:t>
      </w:r>
      <w:r>
        <w:rPr>
          <w:i/>
          <w:iCs/>
        </w:rPr>
        <w:t xml:space="preserve">the Enforcement Decree</w:t>
      </w:r>
      <w:r>
        <w:t xml:space="preserve">, or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w:t>
      </w:r>
      <w:r>
        <w:t xml:space="preserve">“Corrosion prevention”</w:t>
      </w:r>
      <w:r>
        <w:t xml:space="preserve">) falls in this class. Non-fulfilment exposes the operator to administrative or criminal liability under the Act.</w:t>
      </w:r>
    </w:p>
    <w:p>
      <w:pPr>
        <w:pStyle w:val="Compact"/>
        <w:numPr>
          <w:ilvl w:val="0"/>
          <w:numId w:val="1001"/>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technical guidelines</w:t>
      </w:r>
      <w:r>
        <w:t xml:space="preserve"> </w:t>
      </w:r>
      <w:r>
        <w:t xml:space="preserve">(e.g.,</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These are not legally binding by themselves, but are routinely incorporated by reference into PSM submission packages and ministerial inspections, and a measurable deviation from a guideline is treated as a material finding in PSM audits.</w:t>
      </w:r>
    </w:p>
    <w:p>
      <w:pPr>
        <w:pStyle w:val="BlockText"/>
      </w:pPr>
      <w:r>
        <w:t xml:space="preserve">[§4.4]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pPr>
        <w:pStyle w:val="FirstParagraph"/>
      </w:pPr>
      <w:r>
        <w:rPr>
          <w:b/>
          <w:bCs/>
        </w:rPr>
        <w:t xml:space="preserve">Evidence</w:t>
      </w:r>
      <w:r>
        <w:t xml:space="preserve">: §4.3 (Mandatory vs Guidance), §4.4 (Why standard EPC workflows do not cover these), §6.4 Case 3 verbatim Korean text of Article 256 with English working translation alongside, Table 5 (KOSHA citation quality and regulatory class) in</w:t>
      </w:r>
      <w:r>
        <w:t xml:space="preserve"> </w:t>
      </w:r>
      <w:r>
        <w:rPr>
          <w:rStyle w:val="VerbatimChar"/>
        </w:rPr>
        <w:t xml:space="preserve">PAPER_JLP_REVISED_v3.md</w:t>
      </w:r>
      <w:r>
        <w:t xml:space="preserve">.</w:t>
      </w:r>
    </w:p>
    <w:bookmarkEnd w:id="16"/>
    <w:bookmarkStart w:id="17" w:name="X6ee1c918f38f241ce1f5179fc5b4c395b8c84ec"/>
    <w:p>
      <w:pPr>
        <w:pStyle w:val="Heading3"/>
      </w:pPr>
      <w:r>
        <w:t xml:space="preserve">Comment R2.2: Reproducibility and methodological transparency</w:t>
      </w:r>
    </w:p>
    <w:p>
      <w:pPr>
        <w:pStyle w:val="BlockText"/>
      </w:pPr>
      <w:r>
        <w:rPr>
          <w:i/>
          <w:iCs/>
        </w:rPr>
        <w:t xml:space="preserve">“The architecture is well described conceptually, but the study would benefit from: more detailed explanation of the calculation engines and orchestration logic; clearer description of synthetic dataset generation; formalisation of the RAG query and prompting strategy.”</w:t>
      </w:r>
    </w:p>
    <w:p>
      <w:pPr>
        <w:pStyle w:val="FirstParagraph"/>
      </w:pPr>
      <w:r>
        <w:rPr>
          <w:b/>
          <w:bCs/>
        </w:rPr>
        <w:t xml:space="preserve">Author response:</w:t>
      </w:r>
      <w:r>
        <w:t xml:space="preserve"> </w:t>
      </w:r>
      <w:r>
        <w:t xml:space="preserve">We thank the reviewer for this comment, which led to three concrete additions.</w:t>
      </w:r>
      <w:r>
        <w:t xml:space="preserve"> </w:t>
      </w:r>
      <w:r>
        <w:rPr>
          <w:b/>
          <w:bCs/>
        </w:rPr>
        <w:t xml:space="preserve">(a) Calculation engines and orchestration.</w:t>
      </w:r>
      <w:r>
        <w:t xml:space="preserve"> </w:t>
      </w:r>
      <w:r>
        <w:t xml:space="preserve">§3 names the deterministic state machine (</w:t>
      </w:r>
      <w:r>
        <w:rPr>
          <w:rStyle w:val="VerbatimChar"/>
        </w:rPr>
        <w:t xml:space="preserve">src/orchestrator/state_machine.py</w:t>
      </w:r>
      <w:r>
        <w:t xml:space="preserve">) and orchestrator (</w:t>
      </w:r>
      <w:r>
        <w:rPr>
          <w:rStyle w:val="VerbatimChar"/>
        </w:rPr>
        <w:t xml:space="preserve">src/orchestrator/pipeline.py</w:t>
      </w:r>
      <w:r>
        <w:t xml:space="preserve">) used for routing. §5.1 (Table 1) lists the seven engines, the standards each implements, and the source-file path; §5.2 details the four-layer hybrid verification including the explicit Layer-4 thresholds (2% warning, 5% escalation); and §5.3 documents the cross-discipline validator over ten predefined domain pairs (</w:t>
      </w:r>
      <w:r>
        <w:rPr>
          <w:rStyle w:val="VerbatimChar"/>
        </w:rPr>
        <w:t xml:space="preserve">src/cross_discipline/validator.py</w:t>
      </w:r>
      <w:r>
        <w:t xml:space="preserve">, pair set documented in</w:t>
      </w:r>
      <w:r>
        <w:t xml:space="preserve"> </w:t>
      </w:r>
      <w:r>
        <w:rPr>
          <w:rStyle w:val="VerbatimChar"/>
        </w:rPr>
        <w:t xml:space="preserve">docs/specs/MASTER_ORCHESTRATOR_SPEC_V0.1.md</w:t>
      </w:r>
      <w:r>
        <w:t xml:space="preserve">). The §6.6 internal-ablation table (Table 7b) is computed by</w:t>
      </w:r>
      <w:r>
        <w:t xml:space="preserve"> </w:t>
      </w:r>
      <w:r>
        <w:rPr>
          <w:rStyle w:val="VerbatimChar"/>
        </w:rPr>
        <w:t xml:space="preserve">scripts/run_layer_ablation.py</w:t>
      </w:r>
      <w:r>
        <w:t xml:space="preserve">, fully reproducible.</w:t>
      </w:r>
      <w:r>
        <w:t xml:space="preserve"> </w:t>
      </w:r>
      <w:r>
        <w:rPr>
          <w:b/>
          <w:bCs/>
        </w:rPr>
        <w:t xml:space="preserve">(b) Synthetic dataset generation.</w:t>
      </w:r>
      <w:r>
        <w:t xml:space="preserve"> </w:t>
      </w:r>
      <w:r>
        <w:t xml:space="preserve">§6.1 now describes the generation procedure: each case is derived from reference calculation examples in the applicable standards [16, 17] (ASME, API, IEEE, IEC, ACI, AISC); boundary and failure-mode cases are generated by</w:t>
      </w:r>
      <w:r>
        <w:t xml:space="preserve"> </w:t>
      </w:r>
      <w:r>
        <w:rPr>
          <w:b/>
          <w:bCs/>
        </w:rPr>
        <w:t xml:space="preserve">systematic parameter perturbation</w:t>
      </w:r>
      <w:r>
        <w:t xml:space="preserve"> </w:t>
      </w:r>
      <w:r>
        <w:t xml:space="preserve">(e.g., wall thickness reduced toward the calculated minimum, fluid chloride concentration raised across the corrosion-rate threshold); the perturbed parameter and the expected red-flag class are recorded with each case. Acceptance thresholds are stated as ±1% for critical cases and ±3% for non-critical cases, with target red-flag detection rate 100% and standard-citation coverage 100%. The full 220-case dataset is released under AGPL-3.0.</w:t>
      </w:r>
      <w:r>
        <w:t xml:space="preserve"> </w:t>
      </w:r>
      <w:r>
        <w:rPr>
          <w:b/>
          <w:bCs/>
        </w:rPr>
        <w:t xml:space="preserve">(c) RAG query and prompting strategy.</w:t>
      </w:r>
      <w:r>
        <w:t xml:space="preserve"> </w:t>
      </w:r>
      <w:r>
        <w:t xml:space="preserve">§4.2 now formalises the retrieval pipeline: a concept-aware query builder converts the calculation context into a Korean natural-language query; each query concept is expanded with curated synonyms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w:t>
      </w:r>
      <w:r>
        <w:t xml:space="preserve">and synonym variants within a concept with</w:t>
      </w:r>
      <w:r>
        <w:t xml:space="preserve"> </w:t>
      </w:r>
      <w:r>
        <w:rPr>
          <w:rStyle w:val="VerbatimChar"/>
        </w:rPr>
        <w:t xml:space="preserve">OR</w:t>
      </w:r>
      <w:r>
        <w:t xml:space="preserve">; when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 Top-k = 10 by default. The Qwen 2.5 7B Instruct system prompt constrains the output to three sections (Key conclusion / Regulatory justification with passage indices / Practical advisories with citation indices), and the model is instructed never to introduce regulatory facts not present in the supplied context — citation-traceability precision is</w:t>
      </w:r>
      <w:r>
        <w:t xml:space="preserve"> </w:t>
      </w:r>
      <w:r>
        <w:rPr>
          <w:b/>
          <w:bCs/>
        </w:rPr>
        <w:t xml:space="preserve">100% by construction</w:t>
      </w:r>
      <w:r>
        <w:t xml:space="preserve"> </w:t>
      </w:r>
      <w:r>
        <w:t xml:space="preserve">(§6.7).</w:t>
      </w:r>
    </w:p>
    <w:p>
      <w:pPr>
        <w:pStyle w:val="BodyText"/>
      </w:pPr>
      <w:r>
        <w:rPr>
          <w:b/>
          <w:bCs/>
        </w:rPr>
        <w:t xml:space="preserve">Excerpt from revised manuscript</w:t>
      </w:r>
      <w:r>
        <w:t xml:space="preserve"> </w:t>
      </w:r>
      <w:r>
        <w:t xml:space="preserve">(§4.2):</w:t>
      </w:r>
    </w:p>
    <w:p>
      <w:pPr>
        <w:pStyle w:val="BlockText"/>
      </w:pPr>
      <w:r>
        <w:t xml:space="preserve">At query time, the calculation context (material, fluid composition, design pressure / temperature, computed remaining life, red-flag set) is converted into a Korean natural-language query by a</w:t>
      </w:r>
      <w:r>
        <w:t xml:space="preserve"> </w:t>
      </w:r>
      <w:r>
        <w:rPr>
          <w:b/>
          <w:bCs/>
        </w:rPr>
        <w:t xml:space="preserve">concept-aware query builder</w:t>
      </w:r>
      <w:r>
        <w:t xml:space="preserve">. Each query concept is expanded with curated synonyms (e.g.,</w:t>
      </w:r>
      <w:r>
        <w:t xml:space="preserve">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and synonym variants within a concept are joined with</w:t>
      </w:r>
      <w:r>
        <w:t xml:space="preserve"> </w:t>
      </w:r>
      <w:r>
        <w:rPr>
          <w:rStyle w:val="VerbatimChar"/>
        </w:rPr>
        <w:t xml:space="preserve">OR</w:t>
      </w:r>
      <w:r>
        <w:t xml:space="preserve">. When the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 […] The model is instructed never to introduce regulatory facts not present in the supplied context. Every advisory must point back to a retrievable</w:t>
      </w:r>
      <w:r>
        <w:t xml:space="preserve"> </w:t>
      </w:r>
      <w:r>
        <w:rPr>
          <w:rStyle w:val="VerbatimChar"/>
        </w:rPr>
        <w:t xml:space="preserve">(reference_code, chunk_id)</w:t>
      </w:r>
      <w:r>
        <w:t xml:space="preserve"> </w:t>
      </w:r>
      <w:r>
        <w:t xml:space="preserve">tuple in the SQLite index, giving citation-traceability precision of 100% by construction.</w:t>
      </w:r>
    </w:p>
    <w:p>
      <w:pPr>
        <w:pStyle w:val="FirstParagraph"/>
      </w:pPr>
      <w:r>
        <w:rPr>
          <w:b/>
          <w:bCs/>
        </w:rPr>
        <w:t xml:space="preserve">Evidence</w:t>
      </w:r>
      <w:r>
        <w:t xml:space="preserve">: §3 (orchestrator + state machine), §4.2 (RAG query and prompting), §5.1 Table 1 (engines and standards), §5.2 (four-layer with explicit thresholds), §5.3 (cross-discipline validator), §6.1 (golden-dataset generation procedure),</w:t>
      </w:r>
      <w:r>
        <w:t xml:space="preserve"> </w:t>
      </w:r>
      <w:r>
        <w:rPr>
          <w:rStyle w:val="VerbatimChar"/>
        </w:rPr>
        <w:t xml:space="preserve">docs/publication/CODE_MAP.md</w:t>
      </w:r>
      <w:r>
        <w:t xml:space="preserve"> </w:t>
      </w:r>
      <w:r>
        <w:t xml:space="preserve">(code-to-paper mapping);</w:t>
      </w:r>
      <w:r>
        <w:t xml:space="preserve"> </w:t>
      </w:r>
      <w:r>
        <w:rPr>
          <w:rStyle w:val="VerbatimChar"/>
        </w:rPr>
        <w:t xml:space="preserve">scripts/run_layer_ablation.py</w:t>
      </w:r>
      <w:r>
        <w:t xml:space="preserve">,</w:t>
      </w:r>
      <w:r>
        <w:t xml:space="preserve"> </w:t>
      </w:r>
      <w:r>
        <w:rPr>
          <w:rStyle w:val="VerbatimChar"/>
        </w:rPr>
        <w:t xml:space="preserve">scripts/dump_ablation_hits.py</w:t>
      </w:r>
      <w:r>
        <w:t xml:space="preserve">,</w:t>
      </w:r>
      <w:r>
        <w:t xml:space="preserve"> </w:t>
      </w:r>
      <w:r>
        <w:rPr>
          <w:rStyle w:val="VerbatimChar"/>
        </w:rPr>
        <w:t xml:space="preserve">scripts/bootstrap_ci_rag.py</w:t>
      </w:r>
      <w:r>
        <w:t xml:space="preserve">,</w:t>
      </w:r>
      <w:r>
        <w:t xml:space="preserve"> </w:t>
      </w:r>
      <w:r>
        <w:rPr>
          <w:rStyle w:val="VerbatimChar"/>
        </w:rPr>
        <w:t xml:space="preserve">scripts/run_negative_case_rag.py</w:t>
      </w:r>
      <w:r>
        <w:t xml:space="preserve"> </w:t>
      </w:r>
      <w:r>
        <w:t xml:space="preserve">(all referenced from the manuscript).</w:t>
      </w:r>
    </w:p>
    <w:bookmarkEnd w:id="17"/>
    <w:bookmarkStart w:id="18" w:name="X71516a271ec129b58bf6764775e79af37161707"/>
    <w:p>
      <w:pPr>
        <w:pStyle w:val="Heading3"/>
      </w:pPr>
      <w:r>
        <w:t xml:space="preserve">Comment R2.3: Validation and statistical rigor</w:t>
      </w:r>
    </w:p>
    <w:p>
      <w:pPr>
        <w:pStyle w:val="BlockText"/>
      </w:pPr>
      <w:r>
        <w:rPr>
          <w:i/>
          <w:iCs/>
        </w:rPr>
        <w:t xml:space="preserve">“The evaluation relies heavily on synthetic datasets with near-perfect scores. This is acceptable for a proof-of-feasibility study, but the authors should: clearly position results as implementation verification rather than predictive validation; add uncertainty discussion or sensitivity analysis; expand or better justify the retrieval benchmark size and representativeness.”</w:t>
      </w:r>
    </w:p>
    <w:p>
      <w:pPr>
        <w:pStyle w:val="FirstParagraph"/>
      </w:pPr>
      <w:r>
        <w:rPr>
          <w:b/>
          <w:bCs/>
        </w:rPr>
        <w:t xml:space="preserve">Author response:</w:t>
      </w:r>
      <w:r>
        <w:t xml:space="preserve"> </w:t>
      </w:r>
      <w:r>
        <w:t xml:space="preserve">We thank the reviewer for this comment. We have adopted all three sub-requests verbatim.</w:t>
      </w:r>
      <w:r>
        <w:t xml:space="preserve"> </w:t>
      </w:r>
      <w:r>
        <w:rPr>
          <w:b/>
          <w:bCs/>
        </w:rPr>
        <w:t xml:space="preserve">(a) Implementation verification framing.</w:t>
      </w:r>
      <w:r>
        <w:t xml:space="preserve"> </w:t>
      </w:r>
      <w:r>
        <w:t xml:space="preserve">§6.1 is now retitled</w:t>
      </w:r>
      <w:r>
        <w:t xml:space="preserve"> </w:t>
      </w:r>
      <w:r>
        <w:t xml:space="preserve">“Calculation Accuracy on the Golden Dataset (</w:t>
      </w:r>
      <w:r>
        <w:rPr>
          <w:b/>
          <w:bCs/>
        </w:rPr>
        <w:t xml:space="preserve">implementation verification</w:t>
      </w:r>
      <w:r>
        <w:t xml:space="preserve">)”</w:t>
      </w:r>
      <w:r>
        <w:t xml:space="preserve"> </w:t>
      </w:r>
      <w:r>
        <w:t xml:space="preserve">and the framing paragraph adopts this distinction:</w:t>
      </w:r>
      <w:r>
        <w:t xml:space="preserve"> </w:t>
      </w:r>
      <w:r>
        <w:rPr>
          <w:i/>
          <w:iCs/>
        </w:rPr>
        <w:t xml:space="preserve">“We deliberately frame these results as</w:t>
      </w:r>
      <w:r>
        <w:rPr>
          <w:i/>
          <w:iCs/>
        </w:rPr>
        <w:t xml:space="preserve"> </w:t>
      </w:r>
      <w:r>
        <w:rPr>
          <w:b/>
          <w:bCs/>
          <w:i/>
          <w:iCs/>
        </w:rPr>
        <w:t xml:space="preserve">implementation verification, not predictive validation</w:t>
      </w:r>
      <w:r>
        <w:rPr>
          <w:i/>
          <w:iCs/>
        </w:rPr>
        <w:t xml:space="preserve">, in the sense developed in recent methodological discussions of synthetic-data evaluation”</w:t>
      </w:r>
      <w:r>
        <w:t xml:space="preserve"> </w:t>
      </w:r>
      <w:r>
        <w:t xml:space="preserve">(the manuscript phrasing avoids any direct attribution to a reviewer in compliance with blind-review formatting). The Conclusion echoes this framing.</w:t>
      </w:r>
      <w:r>
        <w:t xml:space="preserve"> </w:t>
      </w:r>
      <w:r>
        <w:rPr>
          <w:b/>
          <w:bCs/>
        </w:rPr>
        <w:t xml:space="preserve">(b) Uncertainty discussion / sensitivity analysis.</w:t>
      </w:r>
      <w:r>
        <w:t xml:space="preserve"> </w:t>
      </w:r>
      <w:r>
        <w:t xml:space="preserve">§6.6 now contains a sensitivity-analysis paragraph that surfaces the principal sources of uncertainty: synthetic seeds (a wider seed set could move blocking ratios) and benchmark size (50 queries against a 1,327-document corpus, targeted by construction). For the headline retrieval metrics we report</w:t>
      </w:r>
      <w:r>
        <w:t xml:space="preserve"> </w:t>
      </w:r>
      <w:r>
        <w:rPr>
          <w:b/>
          <w:bCs/>
        </w:rPr>
        <w:t xml:space="preserve">paired-bootstrap 95% CIs</w:t>
      </w:r>
      <w:r>
        <w:t xml:space="preserve"> </w:t>
      </w:r>
      <w:r>
        <w:t xml:space="preserve">(Table 6,</w:t>
      </w:r>
      <w:r>
        <w:t xml:space="preserve"> </w:t>
      </w:r>
      <w:r>
        <w:rPr>
          <w:rStyle w:val="VerbatimChar"/>
        </w:rPr>
        <w:t xml:space="preserve">outputs/rag_bootstrap_ci_report.md</w:t>
      </w:r>
      <w:r>
        <w:t xml:space="preserve">, n=50, 1000 resamples, seed = 20260508): Recall@1 +0.30 with paired CI [+0.14, +0.48] (excludes 0); MRR@10 +0.2189 with paired CI [+0.09, +0.35] (excludes 0);</w:t>
      </w:r>
      <w:r>
        <w:t xml:space="preserve"> </w:t>
      </w:r>
      <w:r>
        <w:rPr>
          <w:b/>
          <w:bCs/>
        </w:rPr>
        <w:t xml:space="preserve">Recall@3 +0.12 with paired CI [−0.02, +0.26] (includes 0); Recall@5 +0.12 with paired CI [−0.02, +0.26] (includes 0)</w:t>
      </w:r>
      <w:r>
        <w:t xml:space="preserve"> </w:t>
      </w:r>
      <w:r>
        <w:t xml:space="preserve">— this is reported honestly and the headline retrieval claim is now narrowed in §6.5, §6.6, and §9 to Recall@1 and MRR@10 only, with Recall@3/Recall@5 reported as point estimates for completeness rather than as primary evidence. We also report the standard error on overall Recall@1 (Enhanced) as 0.062 from</w:t>
      </w:r>
      <w:r>
        <w:t xml:space="preserve"> </w:t>
      </w:r>
      <w:r>
        <w:rPr>
          <w:rStyle w:val="VerbatimChar"/>
        </w:rPr>
        <w:t xml:space="preserve">sqrt(p(1-p)/n)</w:t>
      </w:r>
      <w:r>
        <w:t xml:space="preserve"> </w:t>
      </w:r>
      <w:r>
        <w:t xml:space="preserve">(n=50, p=0.7400). The cross-discipline ablation deltas of +1.0 on aligned-boundary and aligned-failure are categorical and do not require a CI.</w:t>
      </w:r>
      <w:r>
        <w:t xml:space="preserve"> </w:t>
      </w:r>
      <w:r>
        <w:rPr>
          <w:b/>
          <w:bCs/>
        </w:rPr>
        <w:t xml:space="preserve">(c) Benchmark size and representativeness.</w:t>
      </w:r>
      <w:r>
        <w:t xml:space="preserve"> </w:t>
      </w:r>
      <w:r>
        <w:t xml:space="preserve">§6.5 includes a sample-size justification paragraph: five regulatory target groups were chosen because they cover all three KOSHA value-add patterns demonstrated by the case studies (remaining-life documentation, RBI trigger, corrosion prevention); ten queries per group is the minimum supporting a Recall@K spread analysis without saturating the available distinct paraphrasings of each underlying regulatory target. Group-level metrics are reported in Table 6b in addition to the overall mean so group-specific weaknesses (e.g., Article 256 at 0.7000 Enhanced R@5, not 1.0000) are visible. We acknowledge the curated nature explicitly as Limitation 3 (§8).</w:t>
      </w:r>
    </w:p>
    <w:p>
      <w:pPr>
        <w:pStyle w:val="BodyText"/>
      </w:pPr>
      <w:r>
        <w:rPr>
          <w:b/>
          <w:bCs/>
        </w:rPr>
        <w:t xml:space="preserve">Excerpt from revised manuscript</w:t>
      </w:r>
      <w:r>
        <w:t xml:space="preserve"> </w:t>
      </w:r>
      <w:r>
        <w:t xml:space="preserve">(§6.5 + §6.6 sensitivity paragraph):</w:t>
      </w:r>
    </w:p>
    <w:p>
      <w:pPr>
        <w:pStyle w:val="BlockText"/>
      </w:pPr>
      <w:r>
        <w:t xml:space="preserve">The Recall@1 and MRR@10 improvements are statistically distinguishable from zero at the 95% paired-bootstrap level. The Recall@3 and Recall@5 improvements are</w:t>
      </w:r>
      <w:r>
        <w:t xml:space="preserve"> </w:t>
      </w:r>
      <w:r>
        <w:rPr>
          <w:i/>
          <w:iCs/>
        </w:rPr>
        <w:t xml:space="preserve">not</w:t>
      </w:r>
      <w:r>
        <w:t xml:space="preserve"> </w:t>
      </w:r>
      <w:r>
        <w:t xml:space="preserve">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p>
    <w:p>
      <w:pPr>
        <w:pStyle w:val="BlockText"/>
      </w:pPr>
      <w:r>
        <w:t xml:space="preserve">[§6.6 sensitivity] The Recall@3 and Recall@5 deltas of +0.12 each have paired CIs of</w:t>
      </w:r>
      <w:r>
        <w:t xml:space="preserve"> </w:t>
      </w:r>
      <w:r>
        <w:rPr>
          <w:b/>
          <w:bCs/>
        </w:rPr>
        <w:t xml:space="preserve">[−0.02, +0.26]</w:t>
      </w:r>
      <w:r>
        <w:t xml:space="preserve"> </w:t>
      </w:r>
      <w:r>
        <w:t xml:space="preserve">and are</w:t>
      </w:r>
      <w:r>
        <w:t xml:space="preserve"> </w:t>
      </w:r>
      <w:r>
        <w:rPr>
          <w:i/>
          <w:iCs/>
        </w:rPr>
        <w:t xml:space="preserve">not</w:t>
      </w:r>
      <w:r>
        <w:t xml:space="preserve"> </w:t>
      </w:r>
      <w:r>
        <w:t xml:space="preserve">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p>
    <w:p>
      <w:pPr>
        <w:pStyle w:val="FirstParagraph"/>
      </w:pPr>
      <w:r>
        <w:rPr>
          <w:b/>
          <w:bCs/>
        </w:rPr>
        <w:t xml:space="preserve">Evidence</w:t>
      </w:r>
      <w:r>
        <w:t xml:space="preserve">: §6.1 implementation-verification framing; §6.5 sample-size justification + Tables 6 and 6b; §6.6 sensitivity paragraph;</w:t>
      </w:r>
      <w:r>
        <w:t xml:space="preserve"> </w:t>
      </w:r>
      <w:r>
        <w:rPr>
          <w:rStyle w:val="VerbatimChar"/>
        </w:rPr>
        <w:t xml:space="preserve">outputs/rag_bootstrap_ci_report.md</w:t>
      </w:r>
      <w:r>
        <w:t xml:space="preserve"> </w:t>
      </w:r>
      <w:r>
        <w:t xml:space="preserve">from</w:t>
      </w:r>
      <w:r>
        <w:t xml:space="preserve"> </w:t>
      </w:r>
      <w:r>
        <w:rPr>
          <w:rStyle w:val="VerbatimChar"/>
        </w:rPr>
        <w:t xml:space="preserve">scripts/bootstrap_ci_rag.py</w:t>
      </w:r>
      <w:r>
        <w:t xml:space="preserve"> </w:t>
      </w:r>
      <w:r>
        <w:t xml:space="preserve">(n=50, 1000 resamples, seed = 20260508); §8 Limitations 1 and 3.</w:t>
      </w:r>
    </w:p>
    <w:p>
      <w:pPr>
        <w:pStyle w:val="BodyText"/>
      </w:pPr>
      <w:r>
        <w:rPr>
          <w:i/>
          <w:iCs/>
        </w:rPr>
        <w:t xml:space="preserve">Supplementary (post-revision):</w:t>
      </w:r>
      <w:r>
        <w:t xml:space="preserve"> </w:t>
      </w:r>
      <w:r>
        <w:t xml:space="preserve">The recall analysis is now extended to K=10 (Appendix B.2,</w:t>
      </w:r>
      <w:r>
        <w:t xml:space="preserve"> </w:t>
      </w:r>
      <w:r>
        <w:rPr>
          <w:rStyle w:val="VerbatimChar"/>
        </w:rPr>
        <w:t xml:space="preserve">outputs/rag_retrieval_extended.md</w:t>
      </w:r>
      <w:r>
        <w:t xml:space="preserve">). The Enhanced FTS curve saturates at 0.8621 from K = 3, and the Plain FTS curve continues to climb to 0.8012 at K∈{9, 10}; the paired-bootstrap 95% CI on the Enhanced − Plain delta excludes zero only at K∈{1, 2}. We additionally publish a retrieval failure inventory (Appendix B.4) tagging every K=5 miss with one of two diagnosis categories — six of seven failures fall in</w:t>
      </w:r>
      <w:r>
        <w:t xml:space="preserve"> </w:t>
      </w:r>
      <w:r>
        <w:rPr>
          <w:rStyle w:val="VerbatimChar"/>
        </w:rPr>
        <w:t xml:space="preserve">paraphrase_too_loose</w:t>
      </w:r>
      <w:r>
        <w:t xml:space="preserve"> </w:t>
      </w:r>
      <w:r>
        <w:t xml:space="preserve">— to make the residual weakness inspectable rather than hidden.</w:t>
      </w:r>
    </w:p>
    <w:p>
      <w:pPr>
        <w:pStyle w:val="BodyText"/>
      </w:pPr>
      <w:r>
        <w:rPr>
          <w:i/>
          <w:iCs/>
        </w:rPr>
        <w:t xml:space="preserve">Supplementary (query-generation independence, added per peer-reading feedback):</w:t>
      </w:r>
      <w:r>
        <w:t xml:space="preserve"> </w:t>
      </w:r>
      <w:r>
        <w:t xml:space="preserve">§6.5 now explicitly acknowledges that the 50 queries were authored by the same person who designed the system. We mitigate the bias risk by (a) constraining query construction to plausible engineering paraphrasings drawn from KOSHA technical guideline titles and established Korean engineering vocabulary rather than from the system’s internal synonym list, (b) releasing the full query set under</w:t>
      </w:r>
      <w:r>
        <w:t xml:space="preserve"> </w:t>
      </w:r>
      <w:r>
        <w:rPr>
          <w:rStyle w:val="VerbatimChar"/>
        </w:rPr>
        <w:t xml:space="preserve">datasets/kosha_rag/rag_eval_queries.json</w:t>
      </w:r>
      <w:r>
        <w:t xml:space="preserve"> </w:t>
      </w:r>
      <w:r>
        <w:t xml:space="preserve">for independent inspection, and (c) reporting the failure inventory above — six of seven failures fall in</w:t>
      </w:r>
      <w:r>
        <w:t xml:space="preserve"> </w:t>
      </w:r>
      <w:r>
        <w:rPr>
          <w:rStyle w:val="VerbatimChar"/>
        </w:rPr>
        <w:t xml:space="preserve">paraphrase_too_loose</w:t>
      </w:r>
      <w:r>
        <w:t xml:space="preserve">, the failure mode an independently authored query set would also expose. Independent query-set authorship by a disjoint annotator pool is documented as a future-work item (§8 Limitation 7).</w:t>
      </w:r>
    </w:p>
    <w:bookmarkEnd w:id="18"/>
    <w:bookmarkStart w:id="19" w:name="X71027faf229012fd8a8f7d0c6885385969338dc"/>
    <w:p>
      <w:pPr>
        <w:pStyle w:val="Heading3"/>
      </w:pPr>
      <w:r>
        <w:t xml:space="preserve">Comment R2.4: Application scope — HAZOP clarification</w:t>
      </w:r>
    </w:p>
    <w:p>
      <w:pPr>
        <w:pStyle w:val="BlockText"/>
      </w:pPr>
      <w:r>
        <w:rPr>
          <w:i/>
          <w:iCs/>
        </w:rPr>
        <w:t xml:space="preserve">“The manuscript would benefit from clarifying that the proposed approach is best suited for: knowledge-based or AI-assisted HAZOP support, where structured data and rules can be leveraged and not a replacement for conventional dynamic HAZOP, which remains a brainstorming-based, multidisciplinary workshop process relying on expert judgement and interaction.”</w:t>
      </w:r>
    </w:p>
    <w:p>
      <w:pPr>
        <w:pStyle w:val="FirstParagraph"/>
      </w:pPr>
      <w:r>
        <w:rPr>
          <w:b/>
          <w:bCs/>
        </w:rPr>
        <w:t xml:space="preserve">Author response:</w:t>
      </w:r>
      <w:r>
        <w:t xml:space="preserve"> </w:t>
      </w:r>
      <w:r>
        <w:t xml:space="preserve">We thank the reviewer; we adopt this position verbatim and have made it explicit at four places.</w:t>
      </w:r>
      <w:r>
        <w:t xml:space="preserve"> </w:t>
      </w:r>
      <w:r>
        <w:rPr>
          <w:b/>
          <w:bCs/>
        </w:rPr>
        <w:t xml:space="preserve">§2.6</w:t>
      </w:r>
      <w:r>
        <w:t xml:space="preserve"> </w:t>
      </w:r>
      <w:r>
        <w:t xml:space="preserve">now states:</w:t>
      </w:r>
      <w:r>
        <w:t xml:space="preserve"> </w:t>
      </w:r>
      <w:r>
        <w:rPr>
          <w:i/>
          <w:iCs/>
        </w:rPr>
        <w:t xml:space="preserve">“The proposed framework is intentionally complementary to — not a replacement for — established process-safety methods […] HAZOP identifies process deviations through expert-led, multidisciplinary workshops […] None of these methods natively encodes jurisdiction-specific statutory obligations. The present system fills that gap as a</w:t>
      </w:r>
      <w:r>
        <w:rPr>
          <w:i/>
          <w:iCs/>
        </w:rPr>
        <w:t xml:space="preserve"> </w:t>
      </w:r>
      <w:r>
        <w:rPr>
          <w:b/>
          <w:bCs/>
          <w:i/>
          <w:iCs/>
        </w:rPr>
        <w:t xml:space="preserve">compliance co-pilot</w:t>
      </w:r>
      <w:r>
        <w:rPr>
          <w:i/>
          <w:iCs/>
        </w:rPr>
        <w:t xml:space="preserve"> </w:t>
      </w:r>
      <w:r>
        <w:rPr>
          <w:i/>
          <w:iCs/>
        </w:rPr>
        <w:t xml:space="preserve">active at four touchpoints.”</w:t>
      </w:r>
      <w:r>
        <w:t xml:space="preserve"> </w:t>
      </w:r>
      <w:r>
        <w:rPr>
          <w:b/>
          <w:bCs/>
        </w:rPr>
        <w:t xml:space="preserve">§7.2</w:t>
      </w:r>
      <w:r>
        <w:t xml:space="preserve"> </w:t>
      </w:r>
      <w:r>
        <w:t xml:space="preserve">elaborates this with Table 8 (the method-comparison table the reviewer requested — see R2.7) and the four operational touchpoints (before HAZOP, design review, RBI, digital-twin operation).</w:t>
      </w:r>
      <w:r>
        <w:t xml:space="preserve"> </w:t>
      </w:r>
      <w:r>
        <w:rPr>
          <w:b/>
          <w:bCs/>
        </w:rPr>
        <w:t xml:space="preserve">§7.3</w:t>
      </w:r>
      <w:r>
        <w:t xml:space="preserve"> </w:t>
      </w:r>
      <w:r>
        <w:t xml:space="preserve">is a dedicated subsection titled</w:t>
      </w:r>
      <w:r>
        <w:t xml:space="preserve"> </w:t>
      </w:r>
      <w:r>
        <w:rPr>
          <w:i/>
          <w:iCs/>
        </w:rPr>
        <w:t xml:space="preserve">“HAZOP scope: knowledge-based / AI-assisted, not a replacement for dynamic HAZOP”</w:t>
      </w:r>
      <w:r>
        <w:t xml:space="preserve"> </w:t>
      </w:r>
      <w:r>
        <w:t xml:space="preserve">using the reviewer’s wording almost verbatim.</w:t>
      </w:r>
      <w:r>
        <w:t xml:space="preserve"> </w:t>
      </w:r>
      <w:r>
        <w:rPr>
          <w:b/>
          <w:bCs/>
        </w:rPr>
        <w:t xml:space="preserve">§9 Conclusion</w:t>
      </w:r>
      <w:r>
        <w:t xml:space="preserve"> </w:t>
      </w:r>
      <w:r>
        <w:t xml:space="preserve">restates this positioning:</w:t>
      </w:r>
      <w:r>
        <w:t xml:space="preserve"> </w:t>
      </w:r>
      <w:r>
        <w:rPr>
          <w:i/>
          <w:iCs/>
        </w:rPr>
        <w:t xml:space="preserve">“The framework is positioned as a</w:t>
      </w:r>
      <w:r>
        <w:rPr>
          <w:i/>
          <w:iCs/>
        </w:rPr>
        <w:t xml:space="preserve"> </w:t>
      </w:r>
      <w:r>
        <w:rPr>
          <w:b/>
          <w:bCs/>
          <w:i/>
          <w:iCs/>
        </w:rPr>
        <w:t xml:space="preserve">compliance co-pilot</w:t>
      </w:r>
      <w:r>
        <w:rPr>
          <w:i/>
          <w:iCs/>
        </w:rPr>
        <w:t xml:space="preserve"> </w:t>
      </w:r>
      <w:r>
        <w:rPr>
          <w:i/>
          <w:iCs/>
        </w:rPr>
        <w:t xml:space="preserve">for HAZOP, RBI, and digital-twin workflows, not as a replacement for them.”</w:t>
      </w:r>
      <w:r>
        <w:t xml:space="preserve"> </w:t>
      </w:r>
      <w:r>
        <w:rPr>
          <w:b/>
          <w:bCs/>
        </w:rPr>
        <w:t xml:space="preserve">Key Definitions</w:t>
      </w:r>
      <w:r>
        <w:t xml:space="preserve"> </w:t>
      </w:r>
      <w:r>
        <w:t xml:space="preserve">entry for</w:t>
      </w:r>
      <w:r>
        <w:t xml:space="preserve"> </w:t>
      </w:r>
      <w:r>
        <w:t xml:space="preserve">“Compliance co-pilot”</w:t>
      </w:r>
      <w:r>
        <w:t xml:space="preserve"> </w:t>
      </w:r>
      <w:r>
        <w:t xml:space="preserve">is included.</w:t>
      </w:r>
    </w:p>
    <w:p>
      <w:pPr>
        <w:pStyle w:val="BodyText"/>
      </w:pPr>
      <w:r>
        <w:rPr>
          <w:b/>
          <w:bCs/>
        </w:rPr>
        <w:t xml:space="preserve">Excerpt from revised manuscript</w:t>
      </w:r>
      <w:r>
        <w:t xml:space="preserve"> </w:t>
      </w:r>
      <w:r>
        <w:t xml:space="preserve">(§7.3):</w:t>
      </w:r>
    </w:p>
    <w:p>
      <w:pPr>
        <w:pStyle w:val="BlockText"/>
      </w:pPr>
      <w:r>
        <w:t xml:space="preserve">The system supports</w:t>
      </w:r>
      <w:r>
        <w:t xml:space="preserve"> </w:t>
      </w:r>
      <w:r>
        <w:rPr>
          <w:b/>
          <w:bCs/>
        </w:rPr>
        <w:t xml:space="preserve">knowledge-based or AI-assisted HAZOP</w:t>
      </w:r>
      <w:r>
        <w:t xml:space="preserve">: it surfaces structured regulatory data and rule-based prompts that a HAZOP facilitator can incorporate into the workshop. It</w:t>
      </w:r>
      <w:r>
        <w:t xml:space="preserve"> </w:t>
      </w:r>
      <w:r>
        <w:rPr>
          <w:b/>
          <w:bCs/>
        </w:rPr>
        <w:t xml:space="preserve">is not</w:t>
      </w:r>
      <w:r>
        <w:t xml:space="preserve"> </w:t>
      </w:r>
      <w:r>
        <w:t xml:space="preserve">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p>
      <w:pPr>
        <w:pStyle w:val="FirstParagraph"/>
      </w:pPr>
      <w:r>
        <w:rPr>
          <w:b/>
          <w:bCs/>
        </w:rPr>
        <w:t xml:space="preserve">Evidence</w:t>
      </w:r>
      <w:r>
        <w:t xml:space="preserve">: §2.6, §7.2 + Table 8, §7.3 (dedicated HAZOP-scope subsection), §9 Conclusion, Key Definitions (</w:t>
      </w:r>
      <w:r>
        <w:t xml:space="preserve">“Compliance co-pilot”</w:t>
      </w:r>
      <w:r>
        <w:t xml:space="preserve">) in</w:t>
      </w:r>
      <w:r>
        <w:t xml:space="preserve"> </w:t>
      </w:r>
      <w:r>
        <w:rPr>
          <w:rStyle w:val="VerbatimChar"/>
        </w:rPr>
        <w:t xml:space="preserve">PAPER_JLP_REVISED_v3.md</w:t>
      </w:r>
      <w:r>
        <w:t xml:space="preserve">.</w:t>
      </w:r>
    </w:p>
    <w:bookmarkEnd w:id="19"/>
    <w:bookmarkStart w:id="20" w:name="Xd43e7d4f0a53e0f3ca0bef124dc0873fc789306"/>
    <w:p>
      <w:pPr>
        <w:pStyle w:val="Heading3"/>
      </w:pPr>
      <w:r>
        <w:t xml:space="preserve">Comment R2.5: Fitness-for-Service (FFS) vs EPC standards</w:t>
      </w:r>
    </w:p>
    <w:p>
      <w:pPr>
        <w:pStyle w:val="BlockText"/>
      </w:pPr>
      <w:r>
        <w:rPr>
          <w:i/>
          <w:iCs/>
        </w:rPr>
        <w:t xml:space="preserve">“The relationship between fitness-for-service (e.g., API 579) and EPC design standards (e.g., ASME, API design codes) should be explained more clearly. In particular: how FFS outputs interact with regulatory obligations; whether the system treats FFS as design validation, operational assessment, or both; how this affects compliance detection in the proposed framework.”</w:t>
      </w:r>
    </w:p>
    <w:p>
      <w:pPr>
        <w:pStyle w:val="FirstParagraph"/>
      </w:pPr>
      <w:r>
        <w:rPr>
          <w:b/>
          <w:bCs/>
        </w:rPr>
        <w:t xml:space="preserve">Author response:</w:t>
      </w:r>
      <w:r>
        <w:t xml:space="preserve"> </w:t>
      </w:r>
      <w:r>
        <w:t xml:space="preserve">We thank the reviewer for this comment, which is now §7.4 (a dedicated subsection of the Discussion). The subsection explains that API 579-1 fitness-for-service [17]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proposed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threshold triggers M-69-2012 documentation; a corrosion rate above a threshold triggers Article 256 procedural duties). The dual-mode treatment allows compliance detection to follow the asset across its lifecycle without a methodology switch.</w:t>
      </w:r>
    </w:p>
    <w:p>
      <w:pPr>
        <w:pStyle w:val="BodyText"/>
      </w:pPr>
      <w:r>
        <w:rPr>
          <w:b/>
          <w:bCs/>
        </w:rPr>
        <w:t xml:space="preserve">Excerpt from revised manuscript</w:t>
      </w:r>
      <w:r>
        <w:t xml:space="preserve"> </w:t>
      </w:r>
      <w:r>
        <w:t xml:space="preserve">(§7.4):</w:t>
      </w:r>
    </w:p>
    <w:p>
      <w:pPr>
        <w:pStyle w:val="BlockText"/>
      </w:pPr>
      <w:r>
        <w:t xml:space="preserve">API 579-1 fitness-for-service (FFS) [17]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present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 This dual-mode treatment allows compliance detection to follow the asset across its lifecycle without a methodology switch.</w:t>
      </w:r>
    </w:p>
    <w:p>
      <w:pPr>
        <w:pStyle w:val="FirstParagraph"/>
      </w:pPr>
      <w:r>
        <w:rPr>
          <w:b/>
          <w:bCs/>
        </w:rPr>
        <w:t xml:space="preserve">Evidence</w:t>
      </w:r>
      <w:r>
        <w:t xml:space="preserve">: §7.4 (FFS vs EPC standards) and Table 1 row</w:t>
      </w:r>
      <w:r>
        <w:t xml:space="preserve"> </w:t>
      </w:r>
      <w:r>
        <w:t xml:space="preserve">“Pressure Vessels”</w:t>
      </w:r>
      <w:r>
        <w:t xml:space="preserve"> </w:t>
      </w:r>
      <w:r>
        <w:t xml:space="preserve">(which already lists API 579-1 alongside ASME Section VIII Div.1 and API 510); reference [17] in</w:t>
      </w:r>
      <w:r>
        <w:t xml:space="preserve"> </w:t>
      </w:r>
      <w:r>
        <w:rPr>
          <w:rStyle w:val="VerbatimChar"/>
        </w:rPr>
        <w:t xml:space="preserve">PAPER_JLP_REVISED_v3.md</w:t>
      </w:r>
      <w:r>
        <w:t xml:space="preserve">.</w:t>
      </w:r>
    </w:p>
    <w:bookmarkEnd w:id="20"/>
    <w:bookmarkStart w:id="21" w:name="X9d2fc1b5ea500e4c2a77872f384cc49195a785e"/>
    <w:p>
      <w:pPr>
        <w:pStyle w:val="Heading3"/>
      </w:pPr>
      <w:r>
        <w:t xml:space="preserve">Comment R2.6: Figures and structure improvements</w:t>
      </w:r>
    </w:p>
    <w:p>
      <w:pPr>
        <w:pStyle w:val="BlockText"/>
      </w:pPr>
      <w:r>
        <w:rPr>
          <w:i/>
          <w:iCs/>
        </w:rPr>
        <w:t xml:space="preserve">“The manuscript would benefit significantly from: a system architecture diagram; a RAG workflow diagram; improved visualisation of cross-discipline coupling logic.”</w:t>
      </w:r>
    </w:p>
    <w:p>
      <w:pPr>
        <w:pStyle w:val="FirstParagraph"/>
      </w:pPr>
      <w:r>
        <w:rPr>
          <w:b/>
          <w:bCs/>
        </w:rPr>
        <w:t xml:space="preserve">Author response:</w:t>
      </w:r>
      <w:r>
        <w:t xml:space="preserve"> </w:t>
      </w:r>
      <w:r>
        <w:t xml:space="preserve">We thank the reviewer; this comment overlaps with R1.4. Five figures have been added (all generated from</w:t>
      </w:r>
      <w:r>
        <w:t xml:space="preserve"> </w:t>
      </w:r>
      <w:r>
        <w:rPr>
          <w:rStyle w:val="VerbatimChar"/>
        </w:rPr>
        <w:t xml:space="preserve">scripts/generate_paper_figures.py</w:t>
      </w:r>
      <w:r>
        <w:t xml:space="preserve"> </w:t>
      </w:r>
      <w:r>
        <w:t xml:space="preserve">against the live data):</w:t>
      </w:r>
      <w:r>
        <w:t xml:space="preserve"> </w:t>
      </w:r>
      <w:r>
        <w:rPr>
          <w:b/>
          <w:bCs/>
        </w:rPr>
        <w:t xml:space="preserve">Figure 1</w:t>
      </w:r>
      <w:r>
        <w:t xml:space="preserve"> </w:t>
      </w:r>
      <w:r>
        <w:t xml:space="preserve">(overall system architecture: orchestrator, seven domain calculation services with shared four-layer verification, cross-discipline validator, KOSHA Regulatory RAG layer with on-premises LLM);</w:t>
      </w:r>
      <w:r>
        <w:t xml:space="preserve"> </w:t>
      </w:r>
      <w:r>
        <w:rPr>
          <w:b/>
          <w:bCs/>
        </w:rPr>
        <w:t xml:space="preserve">Figure 2</w:t>
      </w:r>
      <w:r>
        <w:t xml:space="preserve"> </w:t>
      </w:r>
      <w:r>
        <w:t xml:space="preserve">(Regulatory RAG workflow: calculation context → concept-aware Korean query construction → BM25 FTS5 retrieval with synonym expansion and OR fallback → structured grounding generation with citation indices);</w:t>
      </w:r>
      <w:r>
        <w:t xml:space="preserve"> </w:t>
      </w:r>
      <w:r>
        <w:rPr>
          <w:b/>
          <w:bCs/>
        </w:rPr>
        <w:t xml:space="preserve">Figure 3</w:t>
      </w:r>
      <w:r>
        <w:t xml:space="preserve"> </w:t>
      </w:r>
      <w:r>
        <w:t xml:space="preserve">(cross-discipline coupling logic: ten predefined domain pairs, trigger conditions, downstream effect of a coupling-block decision on the orchestration pipeline);</w:t>
      </w:r>
      <w:r>
        <w:t xml:space="preserve"> </w:t>
      </w:r>
      <w:r>
        <w:rPr>
          <w:b/>
          <w:bCs/>
        </w:rPr>
        <w:t xml:space="preserve">Figure 4</w:t>
      </w:r>
      <w:r>
        <w:t xml:space="preserve"> </w:t>
      </w:r>
      <w:r>
        <w:t xml:space="preserve">(cross-discipline ablation 60 scenarios: blocked counts by scenario set, validator OFF vs ON; total 0 → 26, +43.3%);</w:t>
      </w:r>
      <w:r>
        <w:t xml:space="preserve"> </w:t>
      </w:r>
      <w:r>
        <w:rPr>
          <w:b/>
          <w:bCs/>
        </w:rPr>
        <w:t xml:space="preserve">Figure 5</w:t>
      </w:r>
      <w:r>
        <w:t xml:space="preserve"> </w:t>
      </w:r>
      <w:r>
        <w:t xml:space="preserve">(Recall and MRR per regulatory target group, Plain BM25 vs Enhanced). The Figure 4 caption reflects the v3-corrected number 26, not the older 25.</w:t>
      </w:r>
    </w:p>
    <w:p>
      <w:pPr>
        <w:pStyle w:val="BodyText"/>
      </w:pPr>
      <w:r>
        <w:rPr>
          <w:b/>
          <w:bCs/>
        </w:rPr>
        <w:t xml:space="preserve">Excerpt from revised manuscript</w:t>
      </w:r>
      <w:r>
        <w:t xml:space="preserve"> </w:t>
      </w:r>
      <w:r>
        <w:t xml:space="preserve">(Figure 1, 2, 3 captions):</w:t>
      </w:r>
    </w:p>
    <w:p>
      <w:pPr>
        <w:pStyle w:val="BlockText"/>
      </w:pPr>
      <w:r>
        <w:rPr>
          <w:i/>
          <w:iCs/>
        </w:rPr>
        <w:t xml:space="preserve">Figure 1. Overall system architecture: orchestrator, seven domain calculation services with shared four-layer verification, cross-discipline validator, and KOSHA Regulatory RAG layer with on-premises LLM.</w:t>
      </w:r>
    </w:p>
    <w:p>
      <w:pPr>
        <w:pStyle w:val="BlockText"/>
      </w:pPr>
      <w:r>
        <w:rPr>
          <w:i/>
          <w:iCs/>
        </w:rPr>
        <w:t xml:space="preserve">Figure 2. Regulatory RAG workflow: calculation context to concept-aware Korean query construction, BM25 FTS5 retrieval with synonym expansion and OR fallback, structured grounding generation with citation indices.</w:t>
      </w:r>
    </w:p>
    <w:p>
      <w:pPr>
        <w:pStyle w:val="BlockText"/>
      </w:pPr>
      <w:r>
        <w:rPr>
          <w:i/>
          <w:iCs/>
        </w:rPr>
        <w:t xml:space="preserve">Figure 3. Cross-discipline coupling logic: ten predefined domain pairs (piping-vessel, electrical-rotating, civil-rotating, instrumentation-electrical, etc.), trigger conditions, and downstream effect of a coupling-block decision on the orchestration pipeline.</w:t>
      </w:r>
    </w:p>
    <w:p>
      <w:pPr>
        <w:pStyle w:val="FirstParagraph"/>
      </w:pPr>
      <w:r>
        <w:rPr>
          <w:b/>
          <w:bCs/>
        </w:rPr>
        <w:t xml:space="preserve">Evidence</w:t>
      </w:r>
      <w:r>
        <w:t xml:space="preserve">:</w:t>
      </w:r>
      <w:r>
        <w:t xml:space="preserve"> </w:t>
      </w:r>
      <w:r>
        <w:rPr>
          <w:rStyle w:val="VerbatimChar"/>
        </w:rPr>
        <w:t xml:space="preserve">docs/publication/figures/fig_1_system_architecture.png</w:t>
      </w:r>
      <w:r>
        <w:t xml:space="preserve">,</w:t>
      </w:r>
      <w:r>
        <w:t xml:space="preserve"> </w:t>
      </w:r>
      <w:r>
        <w:rPr>
          <w:rStyle w:val="VerbatimChar"/>
        </w:rPr>
        <w:t xml:space="preserve">fig_2_rag_workflow.png</w:t>
      </w:r>
      <w:r>
        <w:t xml:space="preserve">,</w:t>
      </w:r>
      <w:r>
        <w:t xml:space="preserve"> </w:t>
      </w:r>
      <w:r>
        <w:rPr>
          <w:rStyle w:val="VerbatimChar"/>
        </w:rPr>
        <w:t xml:space="preserve">fig_3_cross_discipline.png</w:t>
      </w:r>
      <w:r>
        <w:t xml:space="preserve">,</w:t>
      </w:r>
      <w:r>
        <w:t xml:space="preserve"> </w:t>
      </w:r>
      <w:r>
        <w:rPr>
          <w:rStyle w:val="VerbatimChar"/>
        </w:rPr>
        <w:t xml:space="preserve">fig_4_ablation.png</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w:t>
      </w:r>
    </w:p>
    <w:bookmarkEnd w:id="21"/>
    <w:bookmarkStart w:id="22" w:name="Xcc0a6ca1ae58fca999d0f01378b5a95c86d3d43"/>
    <w:p>
      <w:pPr>
        <w:pStyle w:val="Heading3"/>
      </w:pPr>
      <w:r>
        <w:t xml:space="preserve">Comment R2.7: Method-comparison table — Regulatory RAG vs HAZOP / RBI / Digital Twin</w:t>
      </w:r>
    </w:p>
    <w:p>
      <w:pPr>
        <w:pStyle w:val="BlockText"/>
      </w:pPr>
      <w:r>
        <w:rPr>
          <w:i/>
          <w:iCs/>
        </w:rPr>
        <w:t xml:space="preserve">“Method | Main purpose | Weakness | Regulatory RAG value: HAZOP — Identify process deviations — Often manual and workshop-based — Adds regulation-linked prompts and missing legal obligations; RBI — Optimize inspection based on risk — Focuses mainly on equipment degradation — Adds jurisdiction-specific inspection duties; Digital Twin — Live/near-live plant model — May not know legal obligations — Adds compliance intelligence layer; Regulatory RAG — Retrieve applicable laws/standards — Depends on corpus quality — Bridges engineering + legal compliance. Best use is not to replace HAZOP/RBI, but to act as a compliance co-pilot. […] Auditor — After work is done; Advisor — While work is being done.”</w:t>
      </w:r>
    </w:p>
    <w:p>
      <w:pPr>
        <w:pStyle w:val="FirstParagraph"/>
      </w:pPr>
      <w:r>
        <w:rPr>
          <w:b/>
          <w:bCs/>
        </w:rPr>
        <w:t xml:space="preserve">Author response:</w:t>
      </w:r>
      <w:r>
        <w:t xml:space="preserve"> </w:t>
      </w:r>
      <w:r>
        <w:t xml:space="preserve">We thank the reviewer. The method-comparison table the reviewer drafted is reproduced essentially verbatim in §7.2 as</w:t>
      </w:r>
      <w:r>
        <w:t xml:space="preserve"> </w:t>
      </w:r>
      <w:r>
        <w:rPr>
          <w:b/>
          <w:bCs/>
        </w:rPr>
        <w:t xml:space="preserve">Table 8</w:t>
      </w:r>
      <w:r>
        <w:t xml:space="preserve">, with minor wording polish for journal style. The four operational touchpoints (before HAZOP, design review, RBI, digital-twin operation) are listed beneath the table. The Auditor-vs-Advisor temporal-role contrast is a separate table (</w:t>
      </w:r>
      <w:r>
        <w:rPr>
          <w:b/>
          <w:bCs/>
        </w:rPr>
        <w:t xml:space="preserve">Table 9</w:t>
      </w:r>
      <w:r>
        <w:t xml:space="preserve">) at the end of §7.2. We adopt the reviewer’s framing of the system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 </w:t>
      </w:r>
      <w:r>
        <w:t xml:space="preserve">— these phrases now appear in §7.2 as written.</w:t>
      </w:r>
    </w:p>
    <w:p>
      <w:pPr>
        <w:pStyle w:val="BodyText"/>
      </w:pPr>
      <w:r>
        <w:rPr>
          <w:b/>
          <w:bCs/>
        </w:rPr>
        <w:t xml:space="preserve">Excerpt from revised manuscript</w:t>
      </w:r>
      <w:r>
        <w:t xml:space="preserve"> </w:t>
      </w:r>
      <w:r>
        <w:t xml:space="preserve">(Table 8 + Auditor/Advisor):</w:t>
      </w:r>
    </w:p>
    <w:p>
      <w:pPr>
        <w:pStyle w:val="BlockText"/>
      </w:pPr>
      <w:r>
        <w:rPr>
          <w:b/>
          <w:bCs/>
        </w:rPr>
        <w:t xml:space="preserve">Table 8. Method Comparison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lockText"/>
      </w:pPr>
      <w:r>
        <w:t xml:space="preserve">In process-safety terms, the system functions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w:t>
      </w:r>
    </w:p>
    <w:p>
      <w:pPr>
        <w:pStyle w:val="FirstParagraph"/>
      </w:pPr>
      <w:r>
        <w:rPr>
          <w:b/>
          <w:bCs/>
        </w:rPr>
        <w:t xml:space="preserve">Evidence</w:t>
      </w:r>
      <w:r>
        <w:t xml:space="preserve">: §7.2 Table 8 (Method comparison) and Table 9 (Auditor vs Advisor) in</w:t>
      </w:r>
      <w:r>
        <w:t xml:space="preserve"> </w:t>
      </w:r>
      <w:r>
        <w:rPr>
          <w:rStyle w:val="VerbatimChar"/>
        </w:rPr>
        <w:t xml:space="preserve">PAPER_JLP_REVISED_v3.md</w:t>
      </w:r>
      <w:r>
        <w:t xml:space="preserve">; same wording is summarised in §2.6.</w:t>
      </w:r>
    </w:p>
    <w:bookmarkEnd w:id="22"/>
    <w:bookmarkStart w:id="23" w:name="Xd7ee7a190e7c722af21f735e68ebe3b7a02e7d0"/>
    <w:p>
      <w:pPr>
        <w:pStyle w:val="Heading3"/>
      </w:pPr>
      <w:r>
        <w:t xml:space="preserve">Comment R2.8: Acronyms and definitions section</w:t>
      </w:r>
    </w:p>
    <w:p>
      <w:pPr>
        <w:pStyle w:val="BlockText"/>
      </w:pPr>
      <w:r>
        <w:rPr>
          <w:i/>
          <w:iCs/>
        </w:rPr>
        <w:t xml:space="preserve">“Given the multidisciplinary nature of the paper, a dedicated section listing: acronyms (e.g., RAG, PSM, RBI, FFS, KOSHA, EPC); key definitions (e.g., jurisdiction compliance gap, K-voting, coupling validation) would greatly improve readability and accessibility.”</w:t>
      </w:r>
    </w:p>
    <w:p>
      <w:pPr>
        <w:pStyle w:val="FirstParagraph"/>
      </w:pPr>
      <w:r>
        <w:rPr>
          <w:b/>
          <w:bCs/>
        </w:rPr>
        <w:t xml:space="preserve">Author response:</w:t>
      </w:r>
      <w:r>
        <w:t xml:space="preserve"> </w:t>
      </w:r>
      <w:r>
        <w:t xml:space="preserve">We thank the reviewer; we have added two dedicated sections after the Code-and-Data-Availability section.</w:t>
      </w:r>
      <w:r>
        <w:t xml:space="preserve"> </w:t>
      </w:r>
      <w:r>
        <w:rPr>
          <w:b/>
          <w:bCs/>
        </w:rPr>
        <w:t xml:space="preserve">Acronyms</w:t>
      </w:r>
      <w:r>
        <w:t xml:space="preserve"> </w:t>
      </w:r>
      <w:r>
        <w:t xml:space="preserve">is a 19-row table covering ACI, AGPL, AISC, API, ASME, BM25, CR, EPC, FFS (per API 579-1/ASME FFS-1), FTS5, HAZOP, IEC, IEEE, KOSHA, LLM, MRR, PSM, RAG, RBI, RL.</w:t>
      </w:r>
      <w:r>
        <w:t xml:space="preserve"> </w:t>
      </w:r>
      <w:r>
        <w:rPr>
          <w:b/>
          <w:bCs/>
        </w:rPr>
        <w:t xml:space="preserve">Key Definitions</w:t>
      </w:r>
      <w:r>
        <w:t xml:space="preserve"> </w:t>
      </w:r>
      <w:r>
        <w:t xml:space="preserve">is a six-entry list covering the exact terms the reviewer named (jurisdiction compliance gap, K-voting, coupling validation), plus three additional terms used materially in the paper (implementation verification, compliance co-pilot, mandatory vs guidance) — each entry points to the section in which it is operationalised.</w:t>
      </w:r>
    </w:p>
    <w:p>
      <w:pPr>
        <w:pStyle w:val="BodyText"/>
      </w:pPr>
      <w:r>
        <w:rPr>
          <w:b/>
          <w:bCs/>
        </w:rPr>
        <w:t xml:space="preserve">Excerpt from revised manuscript</w:t>
      </w:r>
      <w:r>
        <w:t xml:space="preserve"> </w:t>
      </w:r>
      <w:r>
        <w:t xml:space="preserve">(Acronyms + Key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bl>
    <w:p>
      <w:pPr>
        <w:pStyle w:val="BlockText"/>
      </w:pPr>
      <w:r>
        <w:rPr>
          <w:i/>
          <w:iCs/>
        </w:rPr>
        <w:t xml:space="preserve">(full table includes 19 entries)</w:t>
      </w:r>
    </w:p>
    <w:p>
      <w:pPr>
        <w:pStyle w:val="Compact"/>
        <w:numPr>
          <w:ilvl w:val="0"/>
          <w:numId w:val="1002"/>
        </w:numPr>
      </w:pPr>
      <w:r>
        <w:rPr>
          <w:b/>
          <w:bCs/>
        </w:rPr>
        <w:t xml:space="preserve">Jurisdiction compliance gap</w:t>
      </w:r>
      <w:r>
        <w:t xml:space="preserve"> </w:t>
      </w:r>
      <w:r>
        <w:t xml:space="preserve">—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p>
    <w:p>
      <w:pPr>
        <w:pStyle w:val="Compact"/>
        <w:numPr>
          <w:ilvl w:val="0"/>
          <w:numId w:val="1002"/>
        </w:numPr>
      </w:pPr>
      <w:r>
        <w:rPr>
          <w:b/>
          <w:bCs/>
        </w:rPr>
        <w:t xml:space="preserve">K-voting</w:t>
      </w:r>
      <w:r>
        <w:t xml:space="preserve"> </w:t>
      </w:r>
      <w:r>
        <w:t xml:space="preserve">— a Layer-2 verification mechanism in which K=3 calculation paths execute in parallel using deliberately varied numerical strategies, with maximum relative deviation among outputs constrained to ≤ 1%; failure invokes a tiebreaker and, on persistence, raises a</w:t>
      </w:r>
      <w:r>
        <w:t xml:space="preserve"> </w:t>
      </w:r>
      <w:r>
        <w:rPr>
          <w:rStyle w:val="VerbatimChar"/>
        </w:rPr>
        <w:t xml:space="preserve">no_consensus</w:t>
      </w:r>
      <w:r>
        <w:t xml:space="preserve"> </w:t>
      </w:r>
      <w:r>
        <w:t xml:space="preserve">flag (§5.2, §5.4).</w:t>
      </w:r>
    </w:p>
    <w:p>
      <w:pPr>
        <w:pStyle w:val="Compact"/>
        <w:numPr>
          <w:ilvl w:val="0"/>
          <w:numId w:val="1002"/>
        </w:numPr>
      </w:pPr>
      <w:r>
        <w:rPr>
          <w:b/>
          <w:bCs/>
        </w:rPr>
        <w:t xml:space="preserve">Coupling validation</w:t>
      </w:r>
      <w:r>
        <w:t xml:space="preserve"> </w:t>
      </w:r>
      <w:r>
        <w:t xml:space="preserve">— the cross-discipline check across ten predefined domain pairs that fires when an output of one discipline crosses a coupling threshold defined relative to another (§5.3).</w:t>
      </w:r>
    </w:p>
    <w:p>
      <w:pPr>
        <w:pStyle w:val="FirstParagraph"/>
      </w:pPr>
      <w:r>
        <w:rPr>
          <w:b/>
          <w:bCs/>
        </w:rPr>
        <w:t xml:space="preserve">Evidence</w:t>
      </w:r>
      <w:r>
        <w:t xml:space="preserve">: Acronyms table (19 entries) and Key Definitions section (6 entries) in</w:t>
      </w:r>
      <w:r>
        <w:t xml:space="preserve"> </w:t>
      </w:r>
      <w:r>
        <w:rPr>
          <w:rStyle w:val="VerbatimChar"/>
        </w:rPr>
        <w:t xml:space="preserve">PAPER_JLP_REVISED_v3.md</w:t>
      </w:r>
      <w:r>
        <w:t xml:space="preserve">.</w:t>
      </w:r>
    </w:p>
    <w:p>
      <w:r>
        <w:pict>
          <v:rect style="width:0;height:1.5pt" o:hralign="center" o:hrstd="t" o:hr="t"/>
        </w:pict>
      </w:r>
    </w:p>
    <w:bookmarkEnd w:id="23"/>
    <w:bookmarkEnd w:id="24"/>
    <w:bookmarkStart w:id="27" w:name="response-to-reviewer-3"/>
    <w:p>
      <w:pPr>
        <w:pStyle w:val="Heading2"/>
      </w:pPr>
      <w:r>
        <w:t xml:space="preserve">Response to Reviewer 3</w:t>
      </w:r>
    </w:p>
    <w:p>
      <w:pPr>
        <w:pStyle w:val="FirstParagraph"/>
      </w:pPr>
      <w:r>
        <w:t xml:space="preserve">Reviewer 3 found the topic</w:t>
      </w:r>
      <w:r>
        <w:t xml:space="preserve"> </w:t>
      </w:r>
      <w:r>
        <w:rPr>
          <w:i/>
          <w:iCs/>
        </w:rPr>
        <w:t xml:space="preserve">“very interesting”</w:t>
      </w:r>
      <w:r>
        <w:t xml:space="preserve"> </w:t>
      </w:r>
      <w:r>
        <w:t xml:space="preserve">and the blind spot between engineering correctness and regulatory compliance</w:t>
      </w:r>
      <w:r>
        <w:t xml:space="preserve"> </w:t>
      </w:r>
      <w:r>
        <w:rPr>
          <w:i/>
          <w:iCs/>
        </w:rPr>
        <w:t xml:space="preserve">“rare and valuable,”</w:t>
      </w:r>
      <w:r>
        <w:t xml:space="preserve"> </w:t>
      </w:r>
      <w:r>
        <w:t xml:space="preserve">but flagged two distinct items: a missing K-voting design rationale, and JLP formatting style.</w:t>
      </w:r>
    </w:p>
    <w:bookmarkStart w:id="25" w:name="X07ea3b5a28cd8845073587759cb9daa702797d3"/>
    <w:p>
      <w:pPr>
        <w:pStyle w:val="Heading3"/>
      </w:pPr>
      <w:r>
        <w:t xml:space="preserve">Comment R3.1: K-voting design rationale — why this choice and why those layers</w:t>
      </w:r>
    </w:p>
    <w:p>
      <w:pPr>
        <w:pStyle w:val="BlockText"/>
      </w:pPr>
      <w:r>
        <w:rPr>
          <w:i/>
          <w:iCs/>
        </w:rPr>
        <w:t xml:space="preserve">“The author should explain why K-voting is chosen and why it needs those layers.”</w:t>
      </w:r>
    </w:p>
    <w:p>
      <w:pPr>
        <w:pStyle w:val="FirstParagraph"/>
      </w:pPr>
      <w:r>
        <w:rPr>
          <w:b/>
          <w:bCs/>
        </w:rPr>
        <w:t xml:space="preserve">Author response:</w:t>
      </w:r>
      <w:r>
        <w:t xml:space="preserve"> </w:t>
      </w:r>
      <w:r>
        <w:t xml:space="preserve">We thank the reviewer; this comment prompted §5.4, a new dedicated subsection titled</w:t>
      </w:r>
      <w:r>
        <w:t xml:space="preserve"> </w:t>
      </w:r>
      <w:r>
        <w:rPr>
          <w:i/>
          <w:iCs/>
        </w:rPr>
        <w:t xml:space="preserve">“Why three paths and a 1% tolerance? — K-voting design rationale”</w:t>
      </w:r>
      <w:r>
        <w:t xml:space="preserve">. The subsection justifies three orthogonal design decisions explicitly.</w:t>
      </w:r>
      <w:r>
        <w:t xml:space="preserve"> </w:t>
      </w:r>
      <w:r>
        <w:rPr>
          <w:b/>
          <w:bCs/>
        </w:rPr>
        <w:t xml:space="preserve">(i) Number of paths.</w:t>
      </w:r>
      <w:r>
        <w:t xml:space="preserve"> </w:t>
      </w:r>
      <w:r>
        <w:t xml:space="preserve">Two paths can detect inconsistency but cannot resolve it; three paths give majority-vote semantics with a single comparison, which captures the typical numerical-engineering failure mode (one path drifting from two that agree). Five or more paths give marginal coverage gain at proportionally higher implementation cost and synchronisation overhead; the choice is consistent with the original 3-version baseline studied in [11].</w:t>
      </w:r>
      <w:r>
        <w:t xml:space="preserve"> </w:t>
      </w:r>
      <w:r>
        <w:rPr>
          <w:b/>
          <w:bCs/>
        </w:rPr>
        <w:t xml:space="preserve">(ii) Tolerance.</w:t>
      </w:r>
      <w:r>
        <w:t xml:space="preserve"> </w:t>
      </w:r>
      <w:r>
        <w:t xml:space="preserve">The 1% threshold is calibrated against the tightest acceptance tolerance in the golden dataset (±1% for critical cases per §6.1); a tighter threshold would generate false-positive consensus failures arising from legitimate floating-point rounding differences between paths, and a looser threshold would mask real coding errors.</w:t>
      </w:r>
      <w:r>
        <w:t xml:space="preserve"> </w:t>
      </w:r>
      <w:r>
        <w:rPr>
          <w:b/>
          <w:bCs/>
        </w:rPr>
        <w:t xml:space="preserve">(iii) Scope of independence.</w:t>
      </w:r>
      <w:r>
        <w:t xml:space="preserve"> </w:t>
      </w:r>
      <w:r>
        <w:t xml:space="preserve">Full N-version programming requires independently authored implementations to defeat correlated bugs; we do not claim that level of independence — the three paths share the same author and the same standard-citation tables. We make this limitation explicit so reviewers can correctly position the layer: K-voting here protects primarily against numerical-precision and ordering bugs,</w:t>
      </w:r>
      <w:r>
        <w:t xml:space="preserve"> </w:t>
      </w:r>
      <w:r>
        <w:rPr>
          <w:b/>
          <w:bCs/>
        </w:rPr>
        <w:t xml:space="preserve">not</w:t>
      </w:r>
      <w:r>
        <w:t xml:space="preserve"> </w:t>
      </w:r>
      <w:r>
        <w:t xml:space="preserve">against systematic conceptual errors in standard interpretation. We additionally note in §6.6 (Layer-B ablation, Table 7b) that K-voting is a</w:t>
      </w:r>
      <w:r>
        <w:t xml:space="preserve"> </w:t>
      </w:r>
      <w:r>
        <w:rPr>
          <w:b/>
          <w:bCs/>
        </w:rPr>
        <w:t xml:space="preserve">verification-quality</w:t>
      </w:r>
      <w:r>
        <w:t xml:space="preserve"> </w:t>
      </w:r>
      <w:r>
        <w:t xml:space="preserve">layer that does not, by itself, contribute new detections — its role is to suppress false-positive numerical-precision artefacts. This positioning addresses the reviewer’s</w:t>
      </w:r>
      <w:r>
        <w:t xml:space="preserve"> </w:t>
      </w:r>
      <w:r>
        <w:t xml:space="preserve">“why it needs those layers”</w:t>
      </w:r>
      <w:r>
        <w:t xml:space="preserve"> </w:t>
      </w:r>
      <w:r>
        <w:t xml:space="preserve">question by making each layer’s responsibility distinct and testable.</w:t>
      </w:r>
    </w:p>
    <w:p>
      <w:pPr>
        <w:pStyle w:val="BodyText"/>
      </w:pPr>
      <w:r>
        <w:rPr>
          <w:b/>
          <w:bCs/>
        </w:rPr>
        <w:t xml:space="preserve">Excerpt from revised manuscript</w:t>
      </w:r>
      <w:r>
        <w:t xml:space="preserve"> </w:t>
      </w:r>
      <w:r>
        <w:t xml:space="preserve">(§5.4):</w:t>
      </w:r>
    </w:p>
    <w:p>
      <w:pPr>
        <w:pStyle w:val="BlockText"/>
      </w:pPr>
      <w:r>
        <w:rPr>
          <w:i/>
          <w:iCs/>
        </w:rPr>
        <w:t xml:space="preserve">Number of paths.</w:t>
      </w:r>
      <w:r>
        <w:t xml:space="preserve"> </w:t>
      </w:r>
      <w:r>
        <w:t xml:space="preserve">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w:t>
      </w:r>
    </w:p>
    <w:p>
      <w:pPr>
        <w:pStyle w:val="BlockText"/>
      </w:pPr>
      <w:r>
        <w:rPr>
          <w:i/>
          <w:iCs/>
        </w:rPr>
        <w:t xml:space="preserve">Tolerance.</w:t>
      </w:r>
      <w:r>
        <w:t xml:space="preserve"> </w:t>
      </w:r>
      <w:r>
        <w:t xml:space="preserve">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w:t>
      </w:r>
    </w:p>
    <w:p>
      <w:pPr>
        <w:pStyle w:val="BlockText"/>
      </w:pPr>
      <w:r>
        <w:rPr>
          <w:i/>
          <w:iCs/>
        </w:rPr>
        <w:t xml:space="preserve">Scope of independence.</w:t>
      </w:r>
      <w:r>
        <w:t xml:space="preserve"> </w:t>
      </w:r>
      <w:r>
        <w:t xml:space="preserve">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reviewers can correctly position the layer.</w:t>
      </w:r>
    </w:p>
    <w:p>
      <w:pPr>
        <w:pStyle w:val="FirstParagraph"/>
      </w:pPr>
      <w:r>
        <w:rPr>
          <w:b/>
          <w:bCs/>
        </w:rPr>
        <w:t xml:space="preserve">Evidence</w:t>
      </w:r>
      <w:r>
        <w:t xml:space="preserve">: §5.4 (Why three paths and a 1% tolerance? — K-voting design rationale); §5.2 (the four-layer architecture itself); §6.6 Table 7b (orthogonality of layers, computed by</w:t>
      </w:r>
      <w:r>
        <w:t xml:space="preserve"> </w:t>
      </w:r>
      <w:r>
        <w:rPr>
          <w:rStyle w:val="VerbatimChar"/>
        </w:rPr>
        <w:t xml:space="preserve">scripts/run_layer_ablation.py</w:t>
      </w:r>
      <w:r>
        <w:t xml:space="preserve">); reference [11] Avizienis 1985.</w:t>
      </w:r>
    </w:p>
    <w:bookmarkEnd w:id="25"/>
    <w:bookmarkStart w:id="26" w:name="X4c7b01a43a36592f83bfd67706edde3f7db3243"/>
    <w:p>
      <w:pPr>
        <w:pStyle w:val="Heading3"/>
      </w:pPr>
      <w:r>
        <w:t xml:space="preserve">Comment R3.2: JLP formatting and scientific-article style</w:t>
      </w:r>
    </w:p>
    <w:p>
      <w:pPr>
        <w:pStyle w:val="BlockText"/>
      </w:pPr>
      <w:r>
        <w:rPr>
          <w:i/>
          <w:iCs/>
        </w:rPr>
        <w:t xml:space="preserve">“The manuscript is written in a more technical and professional style than a typical scientific article. The author should carefully review the manuscript formatting guidelines.”</w:t>
      </w:r>
    </w:p>
    <w:p>
      <w:pPr>
        <w:pStyle w:val="FirstParagraph"/>
      </w:pPr>
      <w:r>
        <w:rPr>
          <w:b/>
          <w:bCs/>
        </w:rPr>
        <w:t xml:space="preserve">Author response:</w:t>
      </w:r>
      <w:r>
        <w:t xml:space="preserve"> </w:t>
      </w:r>
      <w:r>
        <w:t xml:space="preserve">We thank the reviewer for this observation. The revised manuscript has been restructured to JLP scientific-article style throughout: a single-paragraph Abstract with explicit numbers and CIs; a structured Introduction → Related Work → System Architecture → KOSHA Regulatory Knowledge Layer → Engines &amp; Verification → Experiments → Discussion → Limitations → Conclusion → Acknowledgements → Code/Data Availability → Acronyms → Key Definitions → References ordering; numbered tables and figures referenced from the body text by number (Table 1 through Table 9; Figure 1 through Figure 5); explicit research questions (RQ1, RQ2) stated in §1; first-person plural (</w:t>
      </w:r>
      <w:r>
        <w:t xml:space="preserve">“We have…”</w:t>
      </w:r>
      <w:r>
        <w:t xml:space="preserve">) throughout; references in the JLP numbered style with full DOIs where available. We have also removed remaining technical-report idioms and consolidated implementation paths into source-file citations alongside the corresponding section text rather than inline narrative. Length, citation count, and section ordering follow recent JLP articles in adjacent topic areas.</w:t>
      </w:r>
    </w:p>
    <w:p>
      <w:pPr>
        <w:pStyle w:val="BodyText"/>
      </w:pPr>
      <w:r>
        <w:rPr>
          <w:b/>
          <w:bCs/>
        </w:rPr>
        <w:t xml:space="preserve">Excerpt from revised manuscript</w:t>
      </w:r>
      <w:r>
        <w:t xml:space="preserve"> </w:t>
      </w:r>
      <w:r>
        <w:t xml:space="preserve">(Abstract opening + §1 RQ1/RQ2):</w:t>
      </w:r>
    </w:p>
    <w:p>
      <w:pPr>
        <w:pStyle w:val="BlockText"/>
      </w:pPr>
      <w:r>
        <w:t xml:space="preserve">[Abstract] 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w:t>
      </w:r>
    </w:p>
    <w:p>
      <w:pPr>
        <w:pStyle w:val="BlockText"/>
      </w:pPr>
      <w:r>
        <w:t xml:space="preserve">[§1]</w:t>
      </w:r>
      <w:r>
        <w:t xml:space="preserve"> </w:t>
      </w:r>
      <w:r>
        <w:rPr>
          <w:b/>
          <w:bCs/>
        </w:rPr>
        <w:t xml:space="preserve">RQ1.</w:t>
      </w:r>
      <w:r>
        <w:t xml:space="preserve"> </w:t>
      </w:r>
      <w:r>
        <w:t xml:space="preserve">What additional cross-discipline coupling hazards does the proposed multi-discipline verification architecture detect compared with independent single-domain calculations, across a predefined set of domain pairs?</w:t>
      </w:r>
    </w:p>
    <w:p>
      <w:pPr>
        <w:pStyle w:val="BlockText"/>
      </w:pPr>
      <w:r>
        <w:rPr>
          <w:b/>
          <w:bCs/>
        </w:rPr>
        <w:t xml:space="preserve">RQ2.</w:t>
      </w:r>
      <w:r>
        <w:t xml:space="preserve"> </w:t>
      </w:r>
      <w:r>
        <w:t xml:space="preserve">Does the KOSHA regulatory RAG layer identify Korean-jurisdiction compliance requirements that international-code calculations structurally miss?</w:t>
      </w:r>
    </w:p>
    <w:p>
      <w:pPr>
        <w:pStyle w:val="FirstParagraph"/>
      </w:pPr>
      <w:r>
        <w:rPr>
          <w:b/>
          <w:bCs/>
        </w:rPr>
        <w:t xml:space="preserve">Evidence</w:t>
      </w:r>
      <w:r>
        <w:t xml:space="preserve">: Section ordering and structure of</w:t>
      </w:r>
      <w:r>
        <w:t xml:space="preserve"> </w:t>
      </w:r>
      <w:r>
        <w:rPr>
          <w:rStyle w:val="VerbatimChar"/>
        </w:rPr>
        <w:t xml:space="preserve">PAPER_JLP_REVISED_v3.md</w:t>
      </w:r>
      <w:r>
        <w:t xml:space="preserve"> </w:t>
      </w:r>
      <w:r>
        <w:t xml:space="preserve">(Abstract → §1 → §2 → … → §9 → Acknowledgements → Code/Data → Acronyms → Definitions → References); Tables 1–9; Figures 1–5; Reference list with 19 numbered entries and DOIs.</w:t>
      </w:r>
    </w:p>
    <w:p>
      <w:r>
        <w:pict>
          <v:rect style="width:0;height:1.5pt" o:hralign="center" o:hrstd="t" o:hr="t"/>
        </w:pict>
      </w:r>
    </w:p>
    <w:bookmarkEnd w:id="26"/>
    <w:bookmarkEnd w:id="27"/>
    <w:bookmarkStart w:id="28" w:name="closing"/>
    <w:p>
      <w:pPr>
        <w:pStyle w:val="Heading2"/>
      </w:pPr>
      <w:r>
        <w:t xml:space="preserve">Closing</w:t>
      </w:r>
    </w:p>
    <w:p>
      <w:pPr>
        <w:pStyle w:val="FirstParagraph"/>
      </w:pPr>
      <w:r>
        <w:t xml:space="preserve">We thank the editor and the three reviewers once more. The revisions have substantially improved the rigour, clarity, and honesty of the paper — in particular the implementation-verification framing of the calculation results, the paired-bootstrap CIs that surface the limited statistical power on Recall@3/Recall@5, the per-failure-mode partition of the 26 cross-discipline hits, the verified negative-case run on PIP-GOLD-003, the FFS-vs-EPC subsection, the K-voting design rationale, and the method-comparison table. We hope the revised manuscript now meets the standards of</w:t>
      </w:r>
      <w:r>
        <w:t xml:space="preserve"> </w:t>
      </w:r>
      <w:r>
        <w:rPr>
          <w:i/>
          <w:iCs/>
        </w:rPr>
        <w:t xml:space="preserve">Journal of Loss Prevention in the Process Industries</w:t>
      </w:r>
      <w:r>
        <w:t xml:space="preserve"> </w:t>
      </w:r>
      <w:r>
        <w:t xml:space="preserve">and we look forward to any further feedback.</w:t>
      </w:r>
    </w:p>
    <w:p>
      <w:pPr>
        <w:pStyle w:val="BodyText"/>
      </w:pPr>
      <w:r>
        <w:t xml:space="preserve">With sincere thanks,</w:t>
      </w:r>
    </w:p>
    <w:p>
      <w:pPr>
        <w:pStyle w:val="BodyText"/>
      </w:pPr>
      <w:r>
        <w:t xml:space="preserve">Yuyong Kim</w:t>
      </w:r>
    </w:p>
    <w:p>
      <w:pPr>
        <w:pStyle w:val="BodyText"/>
      </w:pPr>
      <w:r>
        <w:t xml:space="preserve">University of Wisconsin–Madison</w:t>
      </w:r>
    </w:p>
    <w:p>
      <w:pPr>
        <w:pStyle w:val="BodyText"/>
      </w:pPr>
      <w:r>
        <w:t xml:space="preserve">ykim288@wisc.edu / yuyongkim@gmail.com</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2026-05-10T04:31:36Z</dcterms:created>
  <dcterms:modified xsi:type="dcterms:W3CDTF">2026-05-10T04:31:36Z</dcterms:modified>
</cp:coreProperties>
</file>

<file path=docProps/custom.xml><?xml version="1.0" encoding="utf-8"?>
<Properties xmlns="http://schemas.openxmlformats.org/officeDocument/2006/custom-properties" xmlns:vt="http://schemas.openxmlformats.org/officeDocument/2006/docPropsVTypes"/>
</file>