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*Universal Access in the Information Society*</w:t>
      </w:r>
    </w:p>
    <w:p>
      <w:r>
        <w:rPr>
          <w:b/>
        </w:rPr>
        <w:t>Manuscript:</w:t>
      </w:r>
      <w:r>
        <w:t xml:space="preserve"> One Encoder, Three Registers: Extending Korean Braille</w:t>
      </w:r>
    </w:p>
    <w:p>
      <w:r>
        <w:t>Infrastructure across Public-Safety Catalogues, and What Only a Narrative Domain</w:t>
      </w:r>
    </w:p>
    <w:p>
      <w:r>
        <w:t>Reveals</w:t>
      </w:r>
    </w:p>
    <w:p>
      <w:r>
        <w:rPr>
          <w:b/>
        </w:rPr>
        <w:t>Author:</w:t>
      </w:r>
      <w:r>
        <w:t xml:space="preserve"> Yuyong Kim, University of Wisconsin-Madison</w:t>
      </w:r>
    </w:p>
    <w:p>
      <w:r>
        <w:rPr>
          <w:b/>
        </w:rPr>
        <w:t>ORCID:</w:t>
      </w:r>
      <w:r>
        <w:t xml:space="preserve"> 0009-0006-4842-666X</w:t>
      </w:r>
    </w:p>
    <w:p>
      <w:r>
        <w:rPr>
          <w:b/>
        </w:rPr>
        <w:t>Article type:</w:t>
      </w:r>
      <w:r>
        <w:t xml:space="preserve"> Original Article</w:t>
      </w:r>
    </w:p>
    <w:p>
      <w:r>
        <w:t>Dear Editors,</w:t>
      </w:r>
    </w:p>
    <w:p>
      <w:r>
        <w:t>I am submitting this manuscript for consideration in *Universal Access in the</w:t>
      </w:r>
    </w:p>
    <w:p>
      <w:r>
        <w:t>Information Society*. It is the direct continuation of work the journal</w:t>
      </w:r>
    </w:p>
    <w:p>
      <w:r>
        <w:t>published earlier this year — *KOSHA-Braille: infrastructure-grade accessibility</w:t>
      </w:r>
    </w:p>
    <w:p>
      <w:r>
        <w:t>for Korean chemical safety information* (25:116) — and it settles a claim that</w:t>
      </w:r>
    </w:p>
    <w:p>
      <w:r>
        <w:t>paper could only make prospectively.</w:t>
      </w:r>
    </w:p>
    <w:p>
      <w:r>
        <w:rPr>
          <w:b/>
        </w:rPr>
        <w:t>What the earlier paper left open.</w:t>
      </w:r>
      <w:r>
        <w:t xml:space="preserve"> Section VIII listed pharmaceutical labels</w:t>
      </w:r>
    </w:p>
    <w:p>
      <w:r>
        <w:t>and first-aid protocols as candidate extensions. That was a statement about what</w:t>
      </w:r>
    </w:p>
    <w:p>
      <w:r>
        <w:t>seemed possible, not a result. An encoder validated on one catalogue is not</w:t>
      </w:r>
    </w:p>
    <w:p>
      <w:r>
        <w:t>thereby known to work on another, and the honest way to close the gap is to</w:t>
      </w:r>
    </w:p>
    <w:p>
      <w:r>
        <w:t>apply it to catalogues that are actually shaped differently and report what</w:t>
      </w:r>
    </w:p>
    <w:p>
      <w:r>
        <w:t>happens.</w:t>
      </w:r>
    </w:p>
    <w:p>
      <w:r>
        <w:rPr>
          <w:b/>
        </w:rPr>
        <w:t>What this paper does.</w:t>
      </w:r>
      <w:r>
        <w:t xml:space="preserve"> Three Korean national registers, one encoder, one</w:t>
      </w:r>
    </w:p>
    <w:p>
      <w:r>
        <w:t>adapter each. Pharmaceutical approvals and patient leaflets, pesticide</w:t>
      </w:r>
    </w:p>
    <w:p>
      <w:r>
        <w:t>registrations, and the KOSHA domestic accident-case board — 12,414 records,</w:t>
      </w:r>
    </w:p>
    <w:p>
      <w:r>
        <w:t>encoded under the 2017 revised rules. Rule violations were zero in all three</w:t>
      </w:r>
    </w:p>
    <w:p>
      <w:r>
        <w:t>domains and round-trip stability was 100%, 100%, and 99.8%. Median record length</w:t>
      </w:r>
    </w:p>
    <w:p>
      <w:r>
        <w:t>spans more than two orders of magnitude while cells per source character stay</w:t>
      </w:r>
    </w:p>
    <w:p>
      <w:r>
        <w:t>between 1.63 and 1.78: the shapes differ, the cost of embossing them barely</w:t>
      </w:r>
    </w:p>
    <w:p>
      <w:r>
        <w:t>does.</w:t>
      </w:r>
    </w:p>
    <w:p>
      <w:r>
        <w:rPr>
          <w:b/>
        </w:rPr>
        <w:t>Why the third domain is the point.</w:t>
      </w:r>
      <w:r>
        <w:t xml:space="preserve"> Two of the three registers are records —</w:t>
      </w:r>
    </w:p>
    <w:p>
      <w:r>
        <w:t>somebody filled in fields, and the adapter decides which field to read first. A</w:t>
      </w:r>
    </w:p>
    <w:p>
      <w:r>
        <w:t>paper resting on those two alone would invite the obvious objection that the</w:t>
      </w:r>
    </w:p>
    <w:p>
      <w:r>
        <w:t>shapes are not that different. The accident board is not a form: its content</w:t>
      </w:r>
    </w:p>
    <w:p>
      <w:r>
        <w:t>field is a paragraph an investigator wrote, with a date, a time, and</w:t>
      </w:r>
    </w:p>
    <w:p>
      <w:r>
        <w:t>measurements mid-sentence and no field boundary to lean on.</w:t>
      </w:r>
    </w:p>
    <w:p>
      <w:r>
        <w:t>Adding it took stability from 100% to 99.5%, and that fall was two real defects.</w:t>
      </w:r>
    </w:p>
    <w:p>
      <w:r>
        <w:t>A decoder that misread the roman terminator whenever a bracket or an unencodable</w:t>
      </w:r>
    </w:p>
    <w:p>
      <w:r>
        <w:t>character appeared two words later, turning the Korean after it back into roman.</w:t>
      </w:r>
    </w:p>
    <w:p>
      <w:r>
        <w:t>And an encoder that emitted the number indicator and then discarded subscript</w:t>
      </w:r>
    </w:p>
    <w:p>
      <w:r>
        <w:t>digits, so H₂S came out as "H S" — silent loss in the one place a safety</w:t>
      </w:r>
    </w:p>
    <w:p>
      <w:r>
        <w:t>catalogue cannot afford it, since the digit is what distinguishes hydrogen</w:t>
      </w:r>
    </w:p>
    <w:p>
      <w:r>
        <w:t>sulfide from hydrogen. Both are fixed and both are reported with the material</w:t>
      </w:r>
    </w:p>
    <w:p>
      <w:r>
        <w:t>that exposed them.</w:t>
      </w:r>
    </w:p>
    <w:p>
      <w:r>
        <w:t>That is the paper's argument, and it is why I think it belongs here rather than</w:t>
      </w:r>
    </w:p>
    <w:p>
      <w:r>
        <w:t>in a systems venue: **extensibility of accessibility infrastructure should be</w:t>
      </w:r>
    </w:p>
    <w:p>
      <w:r>
        <w:t>judged not by whether a new domain can be attached but by what attaching it</w:t>
      </w:r>
    </w:p>
    <w:p>
      <w:r>
        <w:t>reveals.** Had I stopped at the two record domains, the numbers would have read</w:t>
      </w:r>
    </w:p>
    <w:p>
      <w:r>
        <w:t>100% and 100% and the encoder would have looked sturdier than it is.</w:t>
      </w:r>
    </w:p>
    <w:p>
      <w:r>
        <w:rPr>
          <w:b/>
        </w:rPr>
        <w:t>A methodological point about the metric.</w:t>
      </w:r>
      <w:r>
        <w:t xml:space="preserve"> Read by naive round-trip, the</w:t>
      </w:r>
    </w:p>
    <w:p>
      <w:r>
        <w:t>pesticide domain scores 9.5% and looks broken. It is not. Rule 38 [proviso]</w:t>
      </w:r>
    </w:p>
    <w:p>
      <w:r>
        <w:t>requires a space between a digit and an initial that shares its cell, so a</w:t>
      </w:r>
    </w:p>
    <w:p>
      <w:r>
        <w:t>frequency of "3회" must be embossed as "3 회" and no decoder can put the space</w:t>
      </w:r>
    </w:p>
    <w:p>
      <w:r>
        <w:t>back. Almost every pesticide row carries one. That score measures the writing</w:t>
      </w:r>
    </w:p>
    <w:p>
      <w:r>
        <w:t>system, not the pipeline. The paper therefore reports round-trip three ways and</w:t>
      </w:r>
    </w:p>
    <w:p>
      <w:r>
        <w:t>argues that the fixed-point test — encode and decode twice, and ask whether the</w:t>
      </w:r>
    </w:p>
    <w:p>
      <w:r>
        <w:t>second pass changed anything — is the one that answers the correctness question.</w:t>
      </w:r>
    </w:p>
    <w:p>
      <w:r>
        <w:t>I would rather make this explicit than publish a number that flatters the work.</w:t>
      </w:r>
    </w:p>
    <w:p>
      <w:r>
        <w:rPr>
          <w:b/>
        </w:rPr>
        <w:t>Reproducibility, including two things that cost me time.</w:t>
      </w:r>
      <w:r>
        <w:t xml:space="preserve"> All three fetchers,</w:t>
      </w:r>
    </w:p>
    <w:p>
      <w:r>
        <w:t>the adapters, the validation harness and every figure script are released; the</w:t>
      </w:r>
    </w:p>
    <w:p>
      <w:r>
        <w:t>collected source text is not redistributed, since all three registers are public</w:t>
      </w:r>
    </w:p>
    <w:p>
      <w:r>
        <w:t>APIs a reader can call with their own key. Section 3.3 records two obstacles</w:t>
      </w:r>
    </w:p>
    <w:p>
      <w:r>
        <w:t>that a later researcher will otherwise hit. First, the accident endpoint's</w:t>
      </w:r>
    </w:p>
    <w:p>
      <w:r>
        <w:t xml:space="preserve">mandatory </w:t>
      </w:r>
      <w:r>
        <w:rPr>
          <w:rFonts w:ascii="Consolas" w:hAnsi="Consolas"/>
          <w:sz w:val="19"/>
        </w:rPr>
        <w:t>callApiId</w:t>
      </w:r>
      <w:r>
        <w:t xml:space="preserve"> is documented as a "fixed value" whose value appears only</w:t>
      </w:r>
    </w:p>
    <w:p>
      <w:r>
        <w:t>in an attached guide document, not on the dataset page. Second, and more</w:t>
      </w:r>
    </w:p>
    <w:p>
      <w:r>
        <w:t>awkwardly, every direct call to the portal failed for an extended period with an</w:t>
      </w:r>
    </w:p>
    <w:p>
      <w:r>
        <w:t>error naming the authentication key, which I diagnosed as an access problem and</w:t>
      </w:r>
    </w:p>
    <w:p>
      <w:r>
        <w:t>worked around by routing through another service. The key was fine; the file it</w:t>
      </w:r>
    </w:p>
    <w:p>
      <w:r>
        <w:t>was stored in used quoting my parser did not handle. I have written this up</w:t>
      </w:r>
    </w:p>
    <w:p>
      <w:r>
        <w:t>because the error message points at the wrong thing, and because the workaround</w:t>
      </w:r>
    </w:p>
    <w:p>
      <w:r>
        <w:t>I chose was avoidance rather than diagnosis.</w:t>
      </w:r>
    </w:p>
    <w:p>
      <w:r>
        <w:rPr>
          <w:b/>
        </w:rPr>
        <w:t>Limitations, stated plainly.</w:t>
      </w:r>
      <w:r>
        <w:t xml:space="preserve"> Only the accident board was collected in full;</w:t>
      </w:r>
    </w:p>
    <w:p>
      <w:r>
        <w:t>pesticides are 3,000 of 95,912 rows, and the pharmaceutical register offers no</w:t>
      </w:r>
    </w:p>
    <w:p>
      <w:r>
        <w:t>listing call, so its sample comes from sweeping dosage-form words and</w:t>
      </w:r>
    </w:p>
    <w:p>
      <w:r>
        <w:t>under-represents products whose names lack them. Twenty accident cases (0.31%)</w:t>
      </w:r>
    </w:p>
    <w:p>
      <w:r>
        <w:t>still do not reach a fixed point, at places where the cell stream genuinely does</w:t>
      </w:r>
    </w:p>
    <w:p>
      <w:r>
        <w:t>not distinguish the readings. And nothing here is validated with braille</w:t>
      </w:r>
    </w:p>
    <w:p>
      <w:r>
        <w:t>readers: the fixed reading orders are reasoned judgements, and the pesticide</w:t>
      </w:r>
    </w:p>
    <w:p>
      <w:r>
        <w:t>adapter's decision to place toxicity last is the one I would most want a reader</w:t>
      </w:r>
    </w:p>
    <w:p>
      <w:r>
        <w:t>to contradict.</w:t>
      </w:r>
    </w:p>
    <w:p>
      <w:r>
        <w:t>The manuscript is original, is not under consideration elsewhere, and has no</w:t>
      </w:r>
    </w:p>
    <w:p>
      <w:r>
        <w:t>competing interests to declare. It reports no work with human participants.</w:t>
      </w:r>
    </w:p>
    <w:p>
      <w:r>
        <w:t>Thank you for your consideration.</w:t>
      </w:r>
    </w:p>
    <w:p>
      <w:r>
        <w:t>Yuyong Kim</w:t>
      </w:r>
    </w:p>
    <w:p>
      <w:r>
        <w:t>ykim288@wisc.edu</w:t>
      </w:r>
    </w:p>
    <w:p>
      <w:pPr>
        <w:pStyle w:val="Heading2"/>
      </w:pPr>
      <w:r>
        <w:t>Suggested reviewers</w:t>
      </w:r>
    </w:p>
    <w:p>
      <w:r>
        <w:t>The paper is weakest where none of the following has looked:</w:t>
      </w:r>
    </w:p>
    <w:p>
      <w:pPr>
        <w:pStyle w:val="ListBullet"/>
      </w:pPr>
      <w:r>
        <w:t>Braille production or transcription practice — to judge whether the reading</w:t>
      </w:r>
    </w:p>
    <w:p>
      <w:r>
        <w:t xml:space="preserve">  orders in Section 5 serve a reader traversing linearly, and in particular</w:t>
      </w:r>
    </w:p>
    <w:p>
      <w:r>
        <w:t xml:space="preserve">  whether placing toxicity last in the pesticide adapter is defensible or simply</w:t>
      </w:r>
    </w:p>
    <w:p>
      <w:r>
        <w:t xml:space="preserve">  wrong.</w:t>
      </w:r>
    </w:p>
    <w:p>
      <w:pPr>
        <w:pStyle w:val="ListBullet"/>
      </w:pPr>
      <w:r>
        <w:t>Korean braille standards — to check that the treatment of Rule 38 and the</w:t>
      </w:r>
    </w:p>
    <w:p>
      <w:r>
        <w:t xml:space="preserve">  Rule 30 terminator is correct, since the validation metric rests on it.</w:t>
      </w:r>
    </w:p>
    <w:p>
      <w:pPr>
        <w:pStyle w:val="ListBullet"/>
      </w:pPr>
      <w:r>
        <w:t>Open government data or civic technology — to judge whether the access</w:t>
      </w:r>
    </w:p>
    <w:p>
      <w:r>
        <w:t xml:space="preserve">  findings in Section 3.3 generalise beyond the Korean portals, and whether the</w:t>
      </w:r>
    </w:p>
    <w:p>
      <w:r>
        <w:t xml:space="preserve">  adapter structure is the right unit of reuse.</w:t>
      </w:r>
    </w:p>
    <w:p>
      <w:pPr>
        <w:pStyle w:val="Heading2"/>
      </w:pPr>
      <w:r>
        <w:t>Alternate venue, if this is out of scope</w:t>
      </w:r>
    </w:p>
    <w:p>
      <w:r>
        <w:t>If the editors judge this closer to a systems contribution than to an</w:t>
      </w:r>
    </w:p>
    <w:p>
      <w:r>
        <w:t xml:space="preserve">accessibility one, </w:t>
      </w:r>
      <w:r>
        <w:rPr>
          <w:i/>
        </w:rPr>
        <w:t>ACM Transactions on Accessible Computing</w:t>
      </w:r>
      <w:r>
        <w:t xml:space="preserve"> would be the next</w:t>
      </w:r>
    </w:p>
    <w:p>
      <w:r>
        <w:t>fit. The adapter structure and the per-domain validation would carry it there,</w:t>
      </w:r>
    </w:p>
    <w:p>
      <w:r>
        <w:t>though the argument in Section 8.2 about secondary readers and parity of access</w:t>
      </w:r>
    </w:p>
    <w:p>
      <w:r>
        <w:t>would have a narrower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