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— *Universal Access in the Information Society*</w:t>
      </w:r>
    </w:p>
    <w:p>
      <w:r>
        <w:rPr>
          <w:b/>
        </w:rPr>
        <w:t>Manuscript:</w:t>
      </w:r>
      <w:r>
        <w:t xml:space="preserve"> What Korean Chemical Names Are Made Of: A Mined Transliteration</w:t>
      </w:r>
    </w:p>
    <w:p>
      <w:r>
        <w:t>Lexicon and the Registry Conventions It Cannot Cross</w:t>
      </w:r>
    </w:p>
    <w:p>
      <w:r>
        <w:rPr>
          <w:b/>
        </w:rPr>
        <w:t>Author:</w:t>
      </w:r>
      <w:r>
        <w:t xml:space="preserve"> Yuyong Kim, University of Wisconsin-Madison</w:t>
      </w:r>
    </w:p>
    <w:p>
      <w:r>
        <w:rPr>
          <w:b/>
        </w:rPr>
        <w:t>ORCID:</w:t>
      </w:r>
      <w:r>
        <w:t xml:space="preserve"> 0009-0006-4842-666X</w:t>
      </w:r>
    </w:p>
    <w:p>
      <w:r>
        <w:rPr>
          <w:b/>
        </w:rPr>
        <w:t>Article type:</w:t>
      </w:r>
      <w:r>
        <w:t xml:space="preserve"> Brief Report</w:t>
      </w:r>
    </w:p>
    <w:p>
      <w:r>
        <w:t>Dear Editors,</w:t>
      </w:r>
    </w:p>
    <w:p>
      <w:r>
        <w:t>I am submitting this manuscript for consideration in *Universal Access in the</w:t>
      </w:r>
    </w:p>
    <w:p>
      <w:r>
        <w:t>Information Society*. It follows directly from work the journal published</w:t>
      </w:r>
    </w:p>
    <w:p>
      <w:r>
        <w:t>earlier this year — *KOSHA-Braille: infrastructure-grade accessibility for</w:t>
      </w:r>
    </w:p>
    <w:p>
      <w:r>
        <w:t>Korean chemical safety information* (25:116) — and reports a result that the</w:t>
      </w:r>
    </w:p>
    <w:p>
      <w:r>
        <w:t>braille corpus described there made visible but could not explain.</w:t>
      </w:r>
    </w:p>
    <w:p>
      <w:r>
        <w:rPr>
          <w:b/>
        </w:rPr>
        <w:t>What the paper does.</w:t>
      </w:r>
      <w:r>
        <w:t xml:space="preserve"> The braille corpus rests on Korean chemical names,</w:t>
      </w:r>
    </w:p>
    <w:p>
      <w:r>
        <w:t>which are transliterations of Latin- and Greek-derived English ones. If the</w:t>
      </w:r>
    </w:p>
    <w:p>
      <w:r>
        <w:t>same roots recur across regulatory catalogues, one accessibility resource</w:t>
      </w:r>
    </w:p>
    <w:p>
      <w:r>
        <w:t>extends to several; if not, every catalogue needs its own vocabulary work.</w:t>
      </w:r>
    </w:p>
    <w:p>
      <w:r>
        <w:t>Rather than deriving a lexicon from naming rules, I mined one statistically</w:t>
      </w:r>
    </w:p>
    <w:p>
      <w:r>
        <w:t>from 8,071 aligned Korean/English name pairs and then measured its reach across</w:t>
      </w:r>
    </w:p>
    <w:p>
      <w:r>
        <w:t>three Korean regulatory registries: industrial chemicals (KOSHA), drug</w:t>
      </w:r>
    </w:p>
    <w:p>
      <w:r>
        <w:t>ingredients (MFDS), and cosmetic ingredients (KCIA).</w:t>
      </w:r>
    </w:p>
    <w:p>
      <w:r>
        <w:rPr>
          <w:b/>
        </w:rPr>
        <w:t>What it found.</w:t>
      </w:r>
      <w:r>
        <w:t xml:space="preserve"> The answer splits in two, and the split is the contribution.</w:t>
      </w:r>
    </w:p>
    <w:p>
      <w:r>
        <w:t>Chemical vocabulary does cross registry boundaries: the same roots appear in</w:t>
      </w:r>
    </w:p>
    <w:p>
      <w:r>
        <w:t>all three catalogues. Orthographic convention does not, and the divergence is</w:t>
      </w:r>
    </w:p>
    <w:p>
      <w:r>
        <w:t>systematic rather than incidental. On sodium and potassium the pharmaceutical</w:t>
      </w:r>
    </w:p>
    <w:p>
      <w:r>
        <w:t>and cosmetic registers do not overlap by a single name — pharmacy writes 나트륨</w:t>
      </w:r>
    </w:p>
    <w:p>
      <w:r>
        <w:t>and 칼륨, cosmetics writes 소듐 and 포타슘, and neither form appears in the</w:t>
      </w:r>
    </w:p>
    <w:p>
      <w:r>
        <w:t>other register at all. Underneath the element names is a difference in</w:t>
      </w:r>
    </w:p>
    <w:p>
      <w:r>
        <w:t>strategy: across 1,380 cosmetic ingredient names the register never once</w:t>
      </w:r>
    </w:p>
    <w:p>
      <w:r>
        <w:t>translates a counter-ion into Sino-Korean, while pharmacy translates heavily</w:t>
      </w:r>
    </w:p>
    <w:p>
      <w:r>
        <w:t>(염산 appears in 14.6% of drug ingredient names) and never transliterates.</w:t>
      </w:r>
    </w:p>
    <w:p>
      <w:r>
        <w:rPr>
          <w:b/>
        </w:rPr>
        <w:t>Why it belongs in this journal rather than a terminology venue.</w:t>
      </w:r>
      <w:r>
        <w:t xml:space="preserve"> The</w:t>
      </w:r>
    </w:p>
    <w:p>
      <w:r>
        <w:t>divergence is not new to a Korean chemist, who resolves it from context without</w:t>
      </w:r>
    </w:p>
    <w:p>
      <w:r>
        <w:t>noticing. It becomes a problem only when the reader has nothing but the string.</w:t>
      </w:r>
    </w:p>
    <w:p>
      <w:r>
        <w:t>Print carries shape, colour and shelf position, all of which do identification</w:t>
      </w:r>
    </w:p>
    <w:p>
      <w:r>
        <w:t>work that the words are not being asked to do. Braille and speech deliver the</w:t>
      </w:r>
    </w:p>
    <w:p>
      <w:r>
        <w:t>word alone. A blind reader building a list of ingredients to avoid has no way</w:t>
      </w:r>
    </w:p>
    <w:p>
      <w:r>
        <w:t>to know that the 소듐 on a shampoo bottle and the 나트륨 on a safety data sheet</w:t>
      </w:r>
    </w:p>
    <w:p>
      <w:r>
        <w:t>are the same element, and no amount of care in the transliteration engine</w:t>
      </w:r>
    </w:p>
    <w:p>
      <w:r>
        <w:t>recovers that, because the two forms are both correct and both official.</w:t>
      </w:r>
    </w:p>
    <w:p>
      <w:r>
        <w:t>The cost of an inconsistency that print absorbs falls, in this case, almost</w:t>
      </w:r>
    </w:p>
    <w:p>
      <w:r>
        <w:t>entirely on readers who cannot see the package. That asymmetry is the paper's</w:t>
      </w:r>
    </w:p>
    <w:p>
      <w:r>
        <w:t>argument, and it is an accessibility argument.</w:t>
      </w:r>
    </w:p>
    <w:p>
      <w:r>
        <w:rPr>
          <w:b/>
        </w:rPr>
        <w:t>A methodological point the paper also records.</w:t>
      </w:r>
      <w:r>
        <w:t xml:space="preserve"> An earlier version of this</w:t>
      </w:r>
    </w:p>
    <w:p>
      <w:r>
        <w:t>work reported 1.5% root coverage for pharmaceuticals and argued that the figure</w:t>
      </w:r>
    </w:p>
    <w:p>
      <w:r>
        <w:t>described the measurement rather than the lexicon, because the reachable public</w:t>
      </w:r>
    </w:p>
    <w:p>
      <w:r>
        <w:t>endpoint returns product names rather than ingredient names. That argument can</w:t>
      </w:r>
    </w:p>
    <w:p>
      <w:r>
        <w:t>now be settled instead of asserted: measured on ingredient names from the same</w:t>
      </w:r>
    </w:p>
    <w:p>
      <w:r>
        <w:t>agency, the same lexicon reaches 8.1%. Both rows are kept in Table 1. The gap</w:t>
      </w:r>
    </w:p>
    <w:p>
      <w:r>
        <w:t>between them is the finding, and it is a failure mode easy to repeat, since a</w:t>
      </w:r>
    </w:p>
    <w:p>
      <w:r>
        <w:t xml:space="preserve">public API that returns </w:t>
      </w:r>
      <w:r>
        <w:rPr>
          <w:i/>
        </w:rPr>
        <w:t>something</w:t>
      </w:r>
      <w:r>
        <w:t xml:space="preserve"> for a drug query invites the assumption</w:t>
      </w:r>
    </w:p>
    <w:p>
      <w:r>
        <w:t>that it returns ingredients.</w:t>
      </w:r>
    </w:p>
    <w:p>
      <w:r>
        <w:rPr>
          <w:b/>
        </w:rPr>
        <w:t>Reproducibility.</w:t>
      </w:r>
      <w:r>
        <w:t xml:space="preserve"> The lexicon, the mining method, the three conditions that</w:t>
      </w:r>
    </w:p>
    <w:p>
      <w:r>
        <w:t>decide whether mining works, and every measurement script are released. Two</w:t>
      </w:r>
    </w:p>
    <w:p>
      <w:r>
        <w:t>constraints are documented rather than worked around: the cosmetics dictionary's</w:t>
      </w:r>
    </w:p>
    <w:p>
      <w:r>
        <w:t>terms of use prohibit redistribution, so the repository carries statistics</w:t>
      </w:r>
    </w:p>
    <w:p>
      <w:r>
        <w:t>computed from a sample and never the entries themselves; and the drug register</w:t>
      </w:r>
    </w:p>
    <w:p>
      <w:r>
        <w:t>is a public API whose endpoint the fetcher names, with the authorised key read</w:t>
      </w:r>
    </w:p>
    <w:p>
      <w:r>
        <w:t>from a file outside the repository, so no credential is copied into the</w:t>
      </w:r>
    </w:p>
    <w:p>
      <w:r>
        <w:t>released code.</w:t>
      </w:r>
    </w:p>
    <w:p>
      <w:r>
        <w:rPr>
          <w:b/>
        </w:rPr>
        <w:t>Limitations, stated plainly.</w:t>
      </w:r>
      <w:r>
        <w:t xml:space="preserve"> Both ingredient catalogues were swept by search</w:t>
      </w:r>
    </w:p>
    <w:p>
      <w:r>
        <w:t>rather than enumerated, so neither is a census. Drug ingredient names were</w:t>
      </w:r>
    </w:p>
    <w:p>
      <w:r>
        <w:t>recovered from the parenthetical that Korean generics print after the product</w:t>
      </w:r>
    </w:p>
    <w:p>
      <w:r>
        <w:t>name, which under-represents combination products. No transliteration reviewer</w:t>
      </w:r>
    </w:p>
    <w:p>
      <w:r>
        <w:t>has audited the lexicon, and Section 6 lists the specific entries a reviewer</w:t>
      </w:r>
    </w:p>
    <w:p>
      <w:r>
        <w:t>would be asked to confirm.</w:t>
      </w:r>
    </w:p>
    <w:p>
      <w:r>
        <w:t>The manuscript is original, is not under consideration elsewhere, and has no</w:t>
      </w:r>
    </w:p>
    <w:p>
      <w:r>
        <w:t>competing interests to declare. It reports no work with human participants.</w:t>
      </w:r>
    </w:p>
    <w:p>
      <w:r>
        <w:t>Thank you for your consideration.</w:t>
      </w:r>
    </w:p>
    <w:p>
      <w:r>
        <w:t>Yuyong Kim</w:t>
      </w:r>
    </w:p>
    <w:p>
      <w:r>
        <w:t>ykim288@wisc.edu</w:t>
      </w:r>
    </w:p>
    <w:p>
      <w:pPr>
        <w:pStyle w:val="Heading2"/>
      </w:pPr>
      <w:r>
        <w:t>Suggested reviewers</w:t>
      </w:r>
    </w:p>
    <w:p>
      <w:r>
        <w:t>Reviewers with one of the following would be most useful, and the paper is</w:t>
      </w:r>
    </w:p>
    <w:p>
      <w:r>
        <w:t>weakest where none of them has looked:</w:t>
      </w:r>
    </w:p>
    <w:p>
      <w:pPr>
        <w:pStyle w:val="ListBullet"/>
      </w:pPr>
      <w:r>
        <w:t>Korean transliteration or terminology standardisation — to check whether the</w:t>
      </w:r>
    </w:p>
    <w:p>
      <w:r>
        <w:t xml:space="preserve">  registry conventions are described correctly and whether the divergence is</w:t>
      </w:r>
    </w:p>
    <w:p>
      <w:r>
        <w:t xml:space="preserve">  known in the literature in a form I have missed.</w:t>
      </w:r>
    </w:p>
    <w:p>
      <w:pPr>
        <w:pStyle w:val="ListBullet"/>
      </w:pPr>
      <w:r>
        <w:t>Chemical information systems — to check that the roots kept are chemically</w:t>
      </w:r>
    </w:p>
    <w:p>
      <w:r>
        <w:t xml:space="preserve">  sensible and that the translated correspondences (</w:t>
      </w:r>
      <w:r>
        <w:rPr>
          <w:i/>
        </w:rPr>
        <w:t>chloride</w:t>
      </w:r>
      <w:r>
        <w:t xml:space="preserve"> → 염화) are right</w:t>
      </w:r>
    </w:p>
    <w:p>
      <w:r>
        <w:t xml:space="preserve">  for the registers claimed.</w:t>
      </w:r>
    </w:p>
    <w:p>
      <w:pPr>
        <w:pStyle w:val="ListBullet"/>
      </w:pPr>
      <w:r>
        <w:t>Blind or low-vision reading practice — to check whether the access argument in</w:t>
      </w:r>
    </w:p>
    <w:p>
      <w:r>
        <w:t xml:space="preserve">  Section 5.1 matches how a reader actually meets these names, rather than how I</w:t>
      </w:r>
    </w:p>
    <w:p>
      <w:r>
        <w:t xml:space="preserve">  imagine they do.</w:t>
      </w:r>
    </w:p>
    <w:p>
      <w:pPr>
        <w:pStyle w:val="Heading2"/>
      </w:pPr>
      <w:r>
        <w:t>Alternate venue, if this is out of scope</w:t>
      </w:r>
    </w:p>
    <w:p>
      <w:r>
        <w:t>If the editors judge the paper closer to terminology than to accessibility,</w:t>
      </w:r>
    </w:p>
    <w:p>
      <w:r>
        <w:rPr>
          <w:i/>
        </w:rPr>
        <w:t>Language Resources and Evaluation</w:t>
      </w:r>
      <w:r>
        <w:t xml:space="preserve"> would be the next fit: the released lexicon</w:t>
      </w:r>
    </w:p>
    <w:p>
      <w:r>
        <w:t>and the measurement method would carry it there, though the argument in</w:t>
      </w:r>
    </w:p>
    <w:p>
      <w:r>
        <w:t>Section 5.1 about who bears the cost would lose its audience.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