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*Universal Access in the Information Society*</w:t>
      </w:r>
    </w:p>
    <w:p>
      <w:r>
        <w:rPr>
          <w:b/>
        </w:rPr>
        <w:t>Manuscript:</w:t>
      </w:r>
      <w:r>
        <w:t xml:space="preserve"> Person-Independent Evaluation for Korean Fingerspelling</w:t>
      </w:r>
    </w:p>
    <w:p>
      <w:r>
        <w:t>Recognition, and Why the Split Is the Result</w:t>
      </w:r>
    </w:p>
    <w:p>
      <w:r>
        <w:rPr>
          <w:b/>
        </w:rPr>
        <w:t>Author:</w:t>
      </w:r>
      <w:r>
        <w:t xml:space="preserve"> Yuyong Kim, University of Wisconsin-Madison</w:t>
      </w:r>
    </w:p>
    <w:p>
      <w:r>
        <w:rPr>
          <w:b/>
        </w:rPr>
        <w:t>ORCID:</w:t>
      </w:r>
      <w:r>
        <w:t xml:space="preserve"> 0009-0006-4842-666X</w:t>
      </w:r>
    </w:p>
    <w:p>
      <w:r>
        <w:rPr>
          <w:b/>
        </w:rPr>
        <w:t>Article type:</w:t>
      </w:r>
      <w:r>
        <w:t xml:space="preserve"> Brief Report</w:t>
      </w:r>
    </w:p>
    <w:p>
      <w:r>
        <w:t>Dear Editors,</w:t>
      </w:r>
    </w:p>
    <w:p>
      <w:r>
        <w:t>I am submitting this manuscript for consideration in *Universal Access in the</w:t>
      </w:r>
    </w:p>
    <w:p>
      <w:r>
        <w:t>Information Society*, and I want to be direct about what it is, because an</w:t>
      </w:r>
    </w:p>
    <w:p>
      <w:r>
        <w:t>editor could reasonably desk-reject it on a misreading.</w:t>
      </w:r>
    </w:p>
    <w:p>
      <w:r>
        <w:rPr>
          <w:b/>
        </w:rPr>
        <w:t>This paper reports no recognition accuracy.</w:t>
      </w:r>
      <w:r>
        <w:t xml:space="preserve"> No Korean fingerspelling dataset</w:t>
      </w:r>
    </w:p>
    <w:p>
      <w:r>
        <w:t>was obtainable, so every number in it comes from synthetic keypoints. The</w:t>
      </w:r>
    </w:p>
    <w:p>
      <w:r>
        <w:t>manuscript says so in the abstract, in Section 4, and again in the limitations,</w:t>
      </w:r>
    </w:p>
    <w:p>
      <w:r>
        <w:t>and the figures are captioned so a number cannot be lifted out of context. The</w:t>
      </w:r>
    </w:p>
    <w:p>
      <w:r>
        <w:t>contribution is an evaluation protocol and the evidence for needing one.</w:t>
      </w:r>
    </w:p>
    <w:p>
      <w:r>
        <w:rPr>
          <w:b/>
        </w:rPr>
        <w:t>Why that is worth publishing rather than holding.</w:t>
      </w:r>
      <w:r>
        <w:t xml:space="preserve"> The series it belongs to</w:t>
      </w:r>
    </w:p>
    <w:p>
      <w:r>
        <w:t>concerns accessibility infrastructure stopping at technical vocabulary. Chemical</w:t>
      </w:r>
    </w:p>
    <w:p>
      <w:r>
        <w:t>names have no registered sign, so Korean Sign Language spells them with</w:t>
      </w:r>
    </w:p>
    <w:p>
      <w:r>
        <w:t>지문자 — one static handshape per jamo. A recogniser for that would be useful.</w:t>
      </w:r>
    </w:p>
    <w:p>
      <w:r>
        <w:t>Before building one, two things had to be checked, and both returned answers</w:t>
      </w:r>
    </w:p>
    <w:p>
      <w:r>
        <w:t>that outlive any particular recogniser.</w:t>
      </w:r>
    </w:p>
    <w:p>
      <w:r>
        <w:t>The first is measurable and was measured. On identical data, a random split</w:t>
      </w:r>
    </w:p>
    <w:p>
      <w:r>
        <w:t>reported accuracy 4.2 points higher than a signer-grouped split. That gap is a</w:t>
      </w:r>
    </w:p>
    <w:p>
      <w:r>
        <w:t>floor, since synthetic signer bias is more uniform than variation between real</w:t>
      </w:r>
    </w:p>
    <w:p>
      <w:r>
        <w:t>hands.</w:t>
      </w:r>
    </w:p>
    <w:p>
      <w:r>
        <w:t>The second is the finding I think justifies the paper. I audited the public</w:t>
      </w:r>
    </w:p>
    <w:p>
      <w:r>
        <w:t xml:space="preserve">sign-alphabet datasets to see whether anyone </w:t>
      </w:r>
      <w:r>
        <w:rPr>
          <w:i/>
        </w:rPr>
        <w:t>could</w:t>
      </w:r>
      <w:r>
        <w:t xml:space="preserve"> have run the</w:t>
      </w:r>
    </w:p>
    <w:p>
      <w:r>
        <w:t>person-independent split. Of the seven whose schema resolves, none records who</w:t>
      </w:r>
    </w:p>
    <w:p>
      <w:r>
        <w:t>signed the sample — including the 34,627-sample ASL-MNIST that most</w:t>
      </w:r>
    </w:p>
    <w:p>
      <w:r>
        <w:t>fingerspelling papers report on, which stores only the image and its letter.</w:t>
      </w:r>
    </w:p>
    <w:p>
      <w:r>
        <w:t>So the split is not merely neglected in this literature; on these datasets it is</w:t>
      </w:r>
    </w:p>
    <w:p>
      <w:r>
        <w:t>not expressible, because the grouping variable was never captured. Every</w:t>
      </w:r>
    </w:p>
    <w:p>
      <w:r>
        <w:t>accuracy published on them is a random split by construction and carries at</w:t>
      </w:r>
    </w:p>
    <w:p>
      <w:r>
        <w:t>least the inflation measured here, whether or not its authors chose the protocol.</w:t>
      </w:r>
    </w:p>
    <w:p>
      <w:r>
        <w:t>That reframes the field's numbers, it costs one integer column to fix, and the</w:t>
      </w:r>
    </w:p>
    <w:p>
      <w:r>
        <w:t>column cannot be recovered after capture. It seemed worth saying now rather than</w:t>
      </w:r>
    </w:p>
    <w:p>
      <w:r>
        <w:t>after I had collected my own data and quietly benefited from the same gap.</w:t>
      </w:r>
    </w:p>
    <w:p>
      <w:r>
        <w:rPr>
          <w:b/>
        </w:rPr>
        <w:t>What the paper does not do, and why that is deliberate.</w:t>
      </w:r>
      <w:r>
        <w:t xml:space="preserve"> It does not collect</w:t>
      </w:r>
    </w:p>
    <w:p>
      <w:r>
        <w:t>Korean fingerspelling data. Before collecting, I want to ask Deaf signers whether</w:t>
      </w:r>
    </w:p>
    <w:p>
      <w:r>
        <w:t>the tool is wanted, and that consultation has not happened yet. A hearing-led</w:t>
      </w:r>
    </w:p>
    <w:p>
      <w:r>
        <w:t>project can build something technically sound that the Deaf community will not</w:t>
      </w:r>
    </w:p>
    <w:p>
      <w:r>
        <w:t>use, and there is a documented concern that automatic recognition being "good</w:t>
      </w:r>
    </w:p>
    <w:p>
      <w:r>
        <w:t>enough" creates pressure to reduce human interpreter provision. Section 5.4 says</w:t>
      </w:r>
    </w:p>
    <w:p>
      <w:r>
        <w:t>who has not been consulted. The consultation protocol is written and released,</w:t>
      </w:r>
    </w:p>
    <w:p>
      <w:r>
        <w:t>including — fixed before any answer is heard — what each possible answer does to</w:t>
      </w:r>
    </w:p>
    <w:p>
      <w:r>
        <w:t>the study, since a question asked after the analysis is chosen can only ratify</w:t>
      </w:r>
    </w:p>
    <w:p>
      <w:r>
        <w:t>it. If the answer is that the tool is not wanted, that is published as a finding.</w:t>
      </w:r>
    </w:p>
    <w:p>
      <w:r>
        <w:rPr>
          <w:b/>
        </w:rPr>
        <w:t>If the editors want data before publication</w:t>
      </w:r>
      <w:r>
        <w:t>, I understand, and the honest</w:t>
      </w:r>
    </w:p>
    <w:p>
      <w:r>
        <w:t>alternative is to hold the manuscript until the consultation concludes and, if it</w:t>
      </w:r>
    </w:p>
    <w:p>
      <w:r>
        <w:t>is positive, a signer-grouped dataset exists. I would rather be told that than</w:t>
      </w:r>
    </w:p>
    <w:p>
      <w:r>
        <w:t>have the synthetic figures mistaken for recognition results. But the dataset</w:t>
      </w:r>
    </w:p>
    <w:p>
      <w:r>
        <w:t>audit does not depend on either outcome, and it is the part I would most like in</w:t>
      </w:r>
    </w:p>
    <w:p>
      <w:r>
        <w:t>front of readers.</w:t>
      </w:r>
    </w:p>
    <w:p>
      <w:r>
        <w:rPr>
          <w:b/>
        </w:rPr>
        <w:t>Companion submissions.</w:t>
      </w:r>
      <w:r>
        <w:t xml:space="preserve"> Two related manuscripts from the same series are being</w:t>
      </w:r>
    </w:p>
    <w:p>
      <w:r>
        <w:t>submitted separately, on a chemical transliteration lexicon and on cosmetics</w:t>
      </w:r>
    </w:p>
    <w:p>
      <w:r>
        <w:t>label access. They are independent papers; I mention them so the relationship is</w:t>
      </w:r>
    </w:p>
    <w:p>
      <w:r>
        <w:t>visible rather than discovered.</w:t>
      </w:r>
    </w:p>
    <w:p>
      <w:r>
        <w:t>The manuscript is original, is not under consideration elsewhere, and has no</w:t>
      </w:r>
    </w:p>
    <w:p>
      <w:r>
        <w:t>competing interests. It reports no work with human participants: the consultation</w:t>
      </w:r>
    </w:p>
    <w:p>
      <w:r>
        <w:t>described in Section 5.4 has not been carried out, and no data from people were</w:t>
      </w:r>
    </w:p>
    <w:p>
      <w:r>
        <w:t>collected or analysed.</w:t>
      </w:r>
    </w:p>
    <w:p>
      <w:r>
        <w:t>Thank you for your consideration.</w:t>
      </w:r>
    </w:p>
    <w:p>
      <w:r>
        <w:t>Yuyong Kim</w:t>
      </w:r>
    </w:p>
    <w:p>
      <w:r>
        <w:t>ykim288@wisc.edu</w:t>
      </w:r>
    </w:p>
    <w:p>
      <w:pPr>
        <w:pStyle w:val="Heading2"/>
      </w:pPr>
      <w:r>
        <w:t>Suggested reviewers</w:t>
      </w:r>
    </w:p>
    <w:p>
      <w:r>
        <w:t>The first of these matters more than the other two:</w:t>
      </w:r>
    </w:p>
    <w:p>
      <w:pPr>
        <w:pStyle w:val="ListBullet"/>
      </w:pPr>
      <w:r>
        <w:t>A Deaf researcher or a Korean Sign Language linguist — to say whether the</w:t>
      </w:r>
    </w:p>
    <w:p>
      <w:r>
        <w:t xml:space="preserve">  problem is framed in a way the community would recognise, and whether</w:t>
      </w:r>
    </w:p>
    <w:p>
      <w:r>
        <w:t xml:space="preserve">  Section 5.4 is adequate or merely polite.</w:t>
      </w:r>
    </w:p>
    <w:p>
      <w:pPr>
        <w:pStyle w:val="ListBullet"/>
      </w:pPr>
      <w:r>
        <w:t>Sign language recognition — to check the dataset audit against benchmarks I</w:t>
      </w:r>
    </w:p>
    <w:p>
      <w:r>
        <w:t xml:space="preserve">  may have missed, and whether any carries signer identity in a form the schema</w:t>
      </w:r>
    </w:p>
    <w:p>
      <w:r>
        <w:t xml:space="preserve">  does not expose.</w:t>
      </w:r>
    </w:p>
    <w:p>
      <w:pPr>
        <w:pStyle w:val="ListBullet"/>
      </w:pPr>
      <w:r>
        <w:t>Machine learning evaluation methodology — to check the split comparison and</w:t>
      </w:r>
    </w:p>
    <w:p>
      <w:r>
        <w:t xml:space="preserve">  whether the synthetic bias model understates or overstates the effect.</w:t>
      </w:r>
    </w:p>
    <w:p>
      <w:pPr>
        <w:pStyle w:val="Heading2"/>
      </w:pPr>
      <w:r>
        <w:t>A note on the negative result</w:t>
      </w:r>
    </w:p>
    <w:p>
      <w:r>
        <w:t>I am aware that a paper reporting no accuracy figure is unusual, and that the</w:t>
      </w:r>
    </w:p>
    <w:p>
      <w:r>
        <w:t>easy version of this work would have run the random split, published a high</w:t>
      </w:r>
    </w:p>
    <w:p>
      <w:r>
        <w:t>number, and left the protocol argument out. That version would also have been</w:t>
      </w:r>
    </w:p>
    <w:p>
      <w:r>
        <w:t>part of the problem the paper describes.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