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Article Type: Brief Report</w:t>
      </w:r>
    </w:p>
    <w:bookmarkStart w:id="10" w:name="Xe0660ff9cc0d3c0a5270a9b2a0d3a0bcb0862ea"/>
    <w:p>
      <w:pPr>
        <w:pStyle w:val="Heading1"/>
      </w:pPr>
      <w:r>
        <w:t xml:space="preserve">KOSHA-Braille: Infrastructure-Grade Accessibility for Korean Chemical Safety Information</w:t>
      </w:r>
    </w:p>
    <w:p>
      <w:pPr>
        <w:pStyle w:val="FirstParagraph"/>
      </w:pPr>
      <w:r>
        <w:t xml:space="preserve">Running title: KOSHA-Braille</w:t>
      </w:r>
    </w:p>
    <w:p>
      <w:pPr>
        <w:pStyle w:val="BodyText"/>
      </w:pPr>
      <w:r>
        <w:t xml:space="preserve">Yuyong Kim</w:t>
      </w:r>
    </w:p>
    <w:p>
      <w:pPr>
        <w:pStyle w:val="BodyText"/>
      </w:pPr>
      <w:r>
        <w:t xml:space="preserve">University of Wisconsin-Madison, Madison, WI 53706, USA</w:t>
      </w:r>
    </w:p>
    <w:p>
      <w:pPr>
        <w:pStyle w:val="BodyText"/>
      </w:pPr>
      <w:r>
        <w:t xml:space="preserve">Corresponding author: Yuyong Kim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ykim288@wisc.edu</w:t>
        </w:r>
      </w:hyperlink>
      <w:r>
        <w:br/>
      </w:r>
      <w:r>
        <w:t xml:space="preserve">ORCID: 0009-0006-4842-666X</w:t>
      </w:r>
    </w:p>
    <w:p>
      <w:pPr>
        <w:pStyle w:val="BodyText"/>
      </w:pPr>
      <w:r>
        <w:t xml:space="preserve">Keywords: Accessibility infrastructure; Braille; Korean braille; Chemical safety information; MSDS dataset; Disability rights</w:t>
      </w:r>
    </w:p>
    <w:p>
      <w:pPr>
        <w:pStyle w:val="BodyText"/>
      </w:pPr>
      <w:r>
        <w:t xml:space="preserve">Resubmission note: Prepared for the Brief Reports category of Universal Access in the Information Society, following the editor's suggestion after the prior Research-category submission (ID: aae028f8-e8f0-43c1-888c-c986dfe01198).</w:t>
      </w:r>
    </w:p>
    <w:p>
      <w:pPr>
        <w:pStyle w:val="BodyText"/>
      </w:pPr>
      <w:r>
        <w:t xml:space="preserve">Statements and declarations are included in the manuscript: Funding, Competing Interests, Ethics and Consent, Author Contributions, and Data and Code Availability.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ykim288@wis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ykim288@wi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2026-07-03T14:14:33Z</dcterms:created>
  <dcterms:modified xsi:type="dcterms:W3CDTF">2026-07-03T14:14:33Z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