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sz w:val="28"/>
        </w:rPr>
        <w:t>Point-by-Point Response</w:t>
      </w:r>
    </w:p>
    <w:p>
      <w:pPr>
        <w:spacing w:after="40"/>
      </w:pPr>
      <w:r>
        <w:rPr>
          <w:b w:val="0"/>
          <w:i w:val="0"/>
          <w:sz w:val="22"/>
        </w:rPr>
        <w:t>Manuscript title: KOSHA-Braille: Infrastructure-Grade Accessibility for Korean Chemical Safety Information</w:t>
      </w:r>
    </w:p>
    <w:p>
      <w:pPr>
        <w:spacing w:after="40"/>
      </w:pPr>
      <w:r>
        <w:rPr>
          <w:b w:val="0"/>
          <w:i w:val="0"/>
          <w:sz w:val="22"/>
        </w:rPr>
        <w:t>Manuscript ID: 5cb9724d-88a1-43ab-9f83-05c32d5d4ca6</w:t>
      </w:r>
    </w:p>
    <w:p>
      <w:pPr>
        <w:spacing w:after="40"/>
      </w:pPr>
      <w:r>
        <w:rPr>
          <w:b w:val="0"/>
          <w:i w:val="0"/>
          <w:sz w:val="22"/>
        </w:rPr>
        <w:t>Article type: Brief Report</w:t>
      </w:r>
    </w:p>
    <w:p>
      <w:pPr>
        <w:spacing w:after="280"/>
      </w:pPr>
      <w:r>
        <w:rPr>
          <w:b w:val="0"/>
          <w:i w:val="0"/>
          <w:sz w:val="22"/>
        </w:rPr>
        <w:t>Author: Yuyong Kim (University of Wisconsin-Madison)</w:t>
      </w:r>
    </w:p>
    <w:p>
      <w:pPr>
        <w:spacing w:after="160"/>
      </w:pPr>
      <w:r>
        <w:rPr>
          <w:b w:val="0"/>
          <w:i w:val="0"/>
          <w:sz w:val="22"/>
        </w:rPr>
        <w:t>I thank the editorial office for the careful reading of the manuscript. Each editorial comment is reproduced below in italics, followed by the action taken. A clean version of the manuscript, with all editorial tracked changes accepted and no highlighting, has been uploaded as the manuscript file.</w:t>
      </w:r>
    </w:p>
    <w:p>
      <w:pPr>
        <w:spacing w:after="80" w:before="280"/>
      </w:pPr>
      <w:r>
        <w:rPr>
          <w:b/>
          <w:i w:val="0"/>
          <w:sz w:val="24"/>
        </w:rPr>
        <w:t>Comment 1</w:t>
      </w:r>
    </w:p>
    <w:p>
      <w:pPr>
        <w:spacing w:after="120"/>
        <w:ind w:left="480"/>
      </w:pPr>
      <w:r>
        <w:rPr>
          <w:i/>
          <w:color w:val="444444"/>
          <w:sz w:val="22"/>
        </w:rPr>
        <w:t>“All figure captions should be included as text, not as part of the figure itself.”</w:t>
      </w:r>
    </w:p>
    <w:p>
      <w:pPr>
        <w:spacing w:after="160"/>
      </w:pPr>
      <w:r>
        <w:rPr>
          <w:b w:val="0"/>
          <w:i w:val="0"/>
          <w:sz w:val="22"/>
        </w:rPr>
        <w:t>Addressed. In the previous version the figure title and the descriptive caption were rendered inside the image files themselves. All five figures have been regenerated so that the image contains only the graphic; every title and caption now appears as editable text in the manuscript body, directly beneath the corresponding figure:</w:t>
      </w:r>
    </w:p>
    <w:p>
      <w:pPr>
        <w:pStyle w:val="ListBullet"/>
        <w:spacing w:after="40"/>
      </w:pPr>
      <w:r>
        <w:t>Fig. 1. System Architecture</w:t>
      </w:r>
    </w:p>
    <w:p>
      <w:pPr>
        <w:pStyle w:val="ListBullet"/>
        <w:spacing w:after="40"/>
      </w:pPr>
      <w:r>
        <w:t>Fig. 2. Korean Braille Encoding Example</w:t>
      </w:r>
    </w:p>
    <w:p>
      <w:pPr>
        <w:pStyle w:val="ListBullet"/>
        <w:spacing w:after="40"/>
      </w:pPr>
      <w:r>
        <w:t>Fig. 3. Dataset Statistics</w:t>
      </w:r>
    </w:p>
    <w:p>
      <w:pPr>
        <w:pStyle w:val="ListBullet"/>
        <w:spacing w:after="40"/>
      </w:pPr>
      <w:r>
        <w:t>Fig. 4. Per-Section Coverage</w:t>
      </w:r>
    </w:p>
    <w:p>
      <w:pPr>
        <w:pStyle w:val="ListBullet"/>
        <w:spacing w:after="40"/>
      </w:pPr>
      <w:r>
        <w:t>Fig. 5. Reference Web Deployment</w:t>
      </w:r>
    </w:p>
    <w:p>
      <w:pPr>
        <w:spacing w:after="160"/>
      </w:pPr>
      <w:r>
        <w:rPr>
          <w:b w:val="0"/>
          <w:i w:val="0"/>
          <w:sz w:val="22"/>
        </w:rPr>
        <w:t>The caption paragraphs are plain text in the manuscript's caption style; no field functions or automatic numbering have been used, in line with the journal's text formatting instructions.</w:t>
      </w:r>
    </w:p>
    <w:p>
      <w:pPr>
        <w:spacing w:after="80" w:before="280"/>
      </w:pPr>
      <w:r>
        <w:rPr>
          <w:b/>
          <w:i w:val="0"/>
          <w:sz w:val="24"/>
        </w:rPr>
        <w:t>Comment 2</w:t>
      </w:r>
    </w:p>
    <w:p>
      <w:pPr>
        <w:spacing w:after="120"/>
        <w:ind w:left="480"/>
      </w:pPr>
      <w:r>
        <w:rPr>
          <w:i/>
          <w:color w:val="444444"/>
          <w:sz w:val="22"/>
        </w:rPr>
        <w:t>“See previous comment regarding figure captions.”</w:t>
      </w:r>
    </w:p>
    <w:p>
      <w:pPr>
        <w:spacing w:after="160"/>
      </w:pPr>
      <w:r>
        <w:rPr>
          <w:b w:val="0"/>
          <w:i w:val="0"/>
          <w:sz w:val="22"/>
        </w:rPr>
        <w:t>Addressed. The same treatment was applied to Fig. 2 and, for consistency, to Figs. 3, 4 and 5, which previously carried their titles inside the image as well.</w:t>
      </w:r>
    </w:p>
    <w:p>
      <w:pPr>
        <w:spacing w:after="80" w:before="280"/>
      </w:pPr>
      <w:r>
        <w:rPr>
          <w:b/>
          <w:i w:val="0"/>
          <w:sz w:val="24"/>
        </w:rPr>
        <w:t>Additional corrections</w:t>
      </w:r>
    </w:p>
    <w:p>
      <w:pPr>
        <w:spacing w:after="160"/>
      </w:pPr>
      <w:r>
        <w:rPr>
          <w:b w:val="0"/>
          <w:i w:val="0"/>
          <w:sz w:val="22"/>
        </w:rPr>
        <w:t>While preparing the revision I identified two errors that were not raised by the editorial office. I report them here for transparency; both are corrections of fact rather than changes of substance, and no claim, method or conclusion of the manuscript is affected.</w:t>
      </w:r>
    </w:p>
    <w:p>
      <w:pPr>
        <w:spacing w:after="40"/>
      </w:pPr>
      <w:r>
        <w:rPr>
          <w:b/>
          <w:i w:val="0"/>
          <w:sz w:val="22"/>
        </w:rPr>
        <w:t>1. Figure 4.</w:t>
      </w:r>
    </w:p>
    <w:p>
      <w:pPr>
        <w:spacing w:after="160"/>
      </w:pPr>
      <w:r>
        <w:rPr>
          <w:b w:val="0"/>
          <w:i w:val="0"/>
          <w:sz w:val="22"/>
        </w:rPr>
        <w:t>The per-section counts plotted in the previous version of Fig. 4 were rounded approximations. Their sum was 397,064, which is inconsistent with the 401,272 non-empty sections reported in Table 4. The figure has been regenerated directly from the released dataset; the plotted counts are now exact and sum to 401,272, in agreement with Table 4. The accompanying caption remains accurate: sections 1, 3, 8 and 14 are populated for 48,963, 48,927, 48,930 and 48,918 of the 48,966 chemicals respectively.</w:t>
      </w:r>
    </w:p>
    <w:p>
      <w:pPr>
        <w:spacing w:after="40"/>
      </w:pPr>
      <w:r>
        <w:rPr>
          <w:b/>
          <w:i w:val="0"/>
          <w:sz w:val="22"/>
        </w:rPr>
        <w:t>2. References [7], [8], [9] and [13].</w:t>
      </w:r>
    </w:p>
    <w:p>
      <w:pPr>
        <w:spacing w:after="160"/>
      </w:pPr>
      <w:r>
        <w:rPr>
          <w:b w:val="0"/>
          <w:i w:val="0"/>
          <w:sz w:val="22"/>
        </w:rPr>
        <w:t>These four web sources carried a duplicated year (“accessed 2026, 2026.”). The redundant year has been removed.</w:t>
      </w:r>
    </w:p>
    <w:p>
      <w:pPr>
        <w:spacing w:after="80" w:before="280"/>
      </w:pPr>
      <w:r>
        <w:rPr>
          <w:b/>
          <w:i w:val="0"/>
          <w:sz w:val="24"/>
        </w:rPr>
        <w:t>Figure quality</w:t>
      </w:r>
    </w:p>
    <w:p>
      <w:pPr>
        <w:spacing w:after="160"/>
      </w:pPr>
      <w:r>
        <w:rPr>
          <w:b w:val="0"/>
          <w:i w:val="0"/>
          <w:sz w:val="22"/>
        </w:rPr>
        <w:t>Because the figures had to be regenerated in order to remove the embedded captions, they were rebuilt at the manuscript text width (6.0 in) and exported at 1000 dpi for the line-art figures (Figs. 1, 2 and 5) and 600 dpi for the combination figures (Figs. 3 and 4), meeting the journal's artwork resolution requirements. Vector PDF versions of all five figures are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