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16.png" ContentType="image/png"/>
  <Override PartName="/word/media/rId29.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한국 화학 안전 정보의 인프라급 접근성</w:t>
      </w:r>
    </w:p>
    <w:p>
      <w:pPr>
        <w:pStyle w:val="Subtitle"/>
      </w:pPr>
      <w:r>
        <w:t xml:space="preserve">Brief Report 최종 한글 보고서</w:t>
      </w:r>
    </w:p>
    <w:p>
      <w:pPr>
        <w:pStyle w:val="Author"/>
      </w:pPr>
      <w:r>
        <w:t xml:space="preserve">김유용</w:t>
      </w:r>
    </w:p>
    <w:p>
      <w:pPr>
        <w:pStyle w:val="FirstParagraph"/>
      </w:pPr>
      <w:r>
        <w:t xml:space="preserve">소속: University of Wisconsin-Madison, Madison, WI 53706, USA</w:t>
      </w:r>
      <w:r>
        <w:br/>
      </w:r>
      <w:r>
        <w:t xml:space="preserve">Email: ykim288@wisc.edu</w:t>
      </w:r>
      <w:r>
        <w:br/>
      </w:r>
      <w:r>
        <w:t xml:space="preserve">ORCID: 0009-0006-4842-666X</w:t>
      </w:r>
    </w:p>
    <w:bookmarkStart w:id="9" w:name="초록"/>
    <w:p>
      <w:pPr>
        <w:pStyle w:val="Heading1"/>
      </w:pPr>
      <w:r>
        <w:t xml:space="preserve">초록</w:t>
      </w:r>
    </w:p>
    <w:p>
      <w:pPr>
        <w:pStyle w:val="FirstParagraph"/>
      </w:pPr>
      <w:r>
        <w:rPr>
          <w:b/>
          <w:bCs/>
        </w:rPr>
        <w:t xml:space="preserve">목적.</w:t>
      </w:r>
      <w:r>
        <w:t xml:space="preserve"> </w:t>
      </w:r>
      <w:r>
        <w:t xml:space="preserve">한국의 화학 안전 정보는 대부분 시각 규제 문서로 생산된다. 본 Brief Report는 해당 영역의 기준 접근성 자원으로서 공개 한국어 물질안전보건자료(MSDS) 점자 코퍼스와 인코더 릴리스인 KOSHA-Braille를 보고한다.</w:t>
      </w:r>
    </w:p>
    <w:p>
      <w:pPr>
        <w:pStyle w:val="BodyText"/>
      </w:pPr>
      <w:r>
        <w:rPr>
          <w:b/>
          <w:bCs/>
        </w:rPr>
        <w:t xml:space="preserve">방법.</w:t>
      </w:r>
      <w:r>
        <w:t xml:space="preserve"> </w:t>
      </w:r>
      <w:r>
        <w:t xml:space="preserve">2017년 한국 점자 규정에 맞춘 결정론적 한국어 점자 인코더를 구현하고, 공공데이터포털을 통해 접근한 KOSHA MSDS 데이터베이스 전체에 적용하였다. 산출물은 독립적으로 개발된 오픈소스 한국어 점자 변환기와 교차 검증하였다. 코퍼스, 인코더, 디코더, 평가 하네스, 참조 웹 배포는 공개된다.</w:t>
      </w:r>
    </w:p>
    <w:p>
      <w:pPr>
        <w:pStyle w:val="BodyText"/>
      </w:pPr>
      <w:r>
        <w:rPr>
          <w:b/>
          <w:bCs/>
        </w:rPr>
        <w:t xml:space="preserve">결과.</w:t>
      </w:r>
      <w:r>
        <w:t xml:space="preserve"> </w:t>
      </w:r>
      <w:r>
        <w:t xml:space="preserve">공개 산출물은 769,897행의 원본 섹션 데이터베이스에서 도출된 48,966종 화학물질을 포괄하며, 이 중 실질 한국어 본문이 있는 섹션은 401,272개이다. 전체 규모는 약 1억 1,930만 한국어 문자와 2억 3,230만 점자 셀이다. 인코더는 442건의 교차 검증 사례에서 독립 참조 구현과 100% 일치하였고, 공개 한국어 라운드트립 골든 셋은 45/45로 복원되었다.</w:t>
      </w:r>
    </w:p>
    <w:p>
      <w:pPr>
        <w:pStyle w:val="BodyText"/>
      </w:pPr>
      <w:r>
        <w:rPr>
          <w:b/>
          <w:bCs/>
        </w:rPr>
        <w:t xml:space="preserve">결론.</w:t>
      </w:r>
      <w:r>
        <w:t xml:space="preserve"> </w:t>
      </w:r>
      <w:r>
        <w:t xml:space="preserve">본 연구의 기여는 표준 준수 접근성 자원의 구축, 검증, 공개 릴리스이며, 최종 사용자 읽기 성능에 관한 주장이 아니다. 시각장애 독자를 대상으로 한 읽기 이해 및 현장 사용성 평가는 별도의 후속 연구로 남는다.</w:t>
      </w:r>
    </w:p>
    <w:p>
      <w:pPr>
        <w:pStyle w:val="BodyText"/>
      </w:pPr>
      <w:r>
        <w:rPr>
          <w:b/>
          <w:bCs/>
        </w:rPr>
        <w:t xml:space="preserve">키워드:</w:t>
      </w:r>
      <w:r>
        <w:t xml:space="preserve"> </w:t>
      </w:r>
      <w:r>
        <w:t xml:space="preserve">접근성 인프라; 점자; 한국 점자; 화학 안전 정보; MSDS 데이터셋; 장애인 권리</w:t>
      </w:r>
    </w:p>
    <w:bookmarkEnd w:id="9"/>
    <w:bookmarkStart w:id="10" w:name="서론"/>
    <w:p>
      <w:pPr>
        <w:pStyle w:val="Heading1"/>
      </w:pPr>
      <w:r>
        <w:t xml:space="preserve">1. 서론</w:t>
      </w:r>
    </w:p>
    <w:p>
      <w:pPr>
        <w:pStyle w:val="FirstParagraph"/>
      </w:pPr>
      <w:r>
        <w:t xml:space="preserve">물질안전보건자료(MSDS, 국제적으로는 Safety Data Sheet)는 유해성 분류, 안전 취급 절차, 응급조치, 노출 한계 정보를 담은 의무 기술 문서이다</w:t>
      </w:r>
      <w:r>
        <w:t xml:space="preserve"> </w:t>
      </w:r>
      <w:r>
        <w:t xml:space="preserve">[1]</w:t>
      </w:r>
      <w:r>
        <w:t xml:space="preserve">. 한국에서는 이러한 기록이 시각 규제 문서로 생산된다. 그러나 UN 장애인권리협약 제9조</w:t>
      </w:r>
      <w:r>
        <w:t xml:space="preserve"> </w:t>
      </w:r>
      <w:r>
        <w:t xml:space="preserve">[2]</w:t>
      </w:r>
      <w:r>
        <w:t xml:space="preserve">와 한국 장애인차별금지 및 권리구제 등에 관한 법률 제21조</w:t>
      </w:r>
      <w:r>
        <w:t xml:space="preserve"> </w:t>
      </w:r>
      <w:r>
        <w:t xml:space="preserve">[3]</w:t>
      </w:r>
      <w:r>
        <w:t xml:space="preserve">는 접근 가능한 형식 제공의 명확한 규범적 근거를 제공한다. 실제 공백은 화학 안전 정보가 접근 가능해야 하는지의 문제가 아니라, 공개 MSDS 기록 전체 규모에서 재현 가능하고 표준을 준수하는 점자 자원이 존재하는지의 문제이다.</w:t>
      </w:r>
    </w:p>
    <w:p>
      <w:pPr>
        <w:pStyle w:val="BodyText"/>
      </w:pPr>
      <w:r>
        <w:t xml:space="preserve">본 Brief Report는 KOSHA-Braille를 그 자원으로 제시한다. 논문의 기여는 의도적으로 좁다. 한국 MSDS 점자 코퍼스와 결정론적 인코더의 구축, 검증, 공개 릴리스를 보고한다. 최종 사용자 읽기 성능을 측정했다고 주장하지 않으며, 읽기 이해와 현장 사용성 평가는 후속 연구로 분리한다.</w:t>
      </w:r>
    </w:p>
    <w:p>
      <w:pPr>
        <w:pStyle w:val="BodyText"/>
      </w:pPr>
      <w:r>
        <w:t xml:space="preserve">본 보고서는 네 가지를 주장한다. 첫째, 769,897행 원본 섹션 데이터베이스에서 48,966종 화학물질, 401,272개 비어 있지 않은 한국어 섹션, 약 2억 3,230만 점자 셀 규모의 코퍼스를 공개한다. 둘째, 2017년 한국 점자 규정에 맞춘 결정론적 인코더를 구현한다. 셋째, 독립 오픈소스 한국어 점자 변환기와 442건 테스트에서 100% 일치함을 보인다. 넷째, 데이터셋, 코드, 검증 하네스, 참조 웹 서비스를 공개하여 자원의 점검, 재생성, 재사용을 가능하게 한다.</w:t>
      </w:r>
    </w:p>
    <w:bookmarkEnd w:id="10"/>
    <w:bookmarkStart w:id="15" w:name="관련-연구"/>
    <w:p>
      <w:pPr>
        <w:pStyle w:val="Heading1"/>
      </w:pPr>
      <w:r>
        <w:t xml:space="preserve">2. 관련 연구</w:t>
      </w:r>
    </w:p>
    <w:bookmarkStart w:id="11" w:name="접근성-인프라"/>
    <w:p>
      <w:pPr>
        <w:pStyle w:val="Heading2"/>
      </w:pPr>
      <w:r>
        <w:t xml:space="preserve">2.1 접근성 인프라</w:t>
      </w:r>
    </w:p>
    <w:p>
      <w:pPr>
        <w:pStyle w:val="FirstParagraph"/>
      </w:pPr>
      <w:r>
        <w:t xml:space="preserve">정책 및 디자인 문헌은 개별 요청에 응답하는 보조 서비스와, 접근 조건을 선제적으로 마련하는 접근성 인프라를 구분한다. Hamraie의 보편 설계사 연구</w:t>
      </w:r>
      <w:r>
        <w:t xml:space="preserve"> </w:t>
      </w:r>
      <w:r>
        <w:t xml:space="preserve">[4]</w:t>
      </w:r>
      <w:r>
        <w:t xml:space="preserve">, Blackwell의</w:t>
      </w:r>
      <w:r>
        <w:t xml:space="preserve"> </w:t>
      </w:r>
      <w:r>
        <w:t xml:space="preserve">“curb-cut effect”</w:t>
      </w:r>
      <w:r>
        <w:t xml:space="preserve"> </w:t>
      </w:r>
      <w:r>
        <w:t xml:space="preserve">논의</w:t>
      </w:r>
      <w:r>
        <w:t xml:space="preserve"> </w:t>
      </w:r>
      <w:r>
        <w:t xml:space="preserve">[5]</w:t>
      </w:r>
      <w:r>
        <w:t xml:space="preserve">, Bennett와 Keyes의 장애 정의 관점</w:t>
      </w:r>
      <w:r>
        <w:t xml:space="preserve"> </w:t>
      </w:r>
      <w:r>
        <w:t xml:space="preserve">[6]</w:t>
      </w:r>
      <w:r>
        <w:t xml:space="preserve">은 접근성을 사후 보정이나 한계 효용 계산이 아니라 참여 조건의 문제로 다룬다.</w:t>
      </w:r>
    </w:p>
    <w:p>
      <w:pPr>
        <w:pStyle w:val="BodyText"/>
      </w:pPr>
      <w:r>
        <w:t xml:space="preserve">본 연구는 기술 및 규제 정보를 위한 영역 특화 점자 코퍼스를 접근성 인프라의 한 범주로 위치시킨다. 특히 영어권 바깥에서 이러한 자원은 체계적으로 과소 생산되어 왔다. KOSHA-Braille는 이 문제를 화학 안전 규제 문서에 적용한다.</w:t>
      </w:r>
    </w:p>
    <w:bookmarkEnd w:id="11"/>
    <w:bookmarkStart w:id="12" w:name="점자-변환-시스템과-기술-문서-점자"/>
    <w:p>
      <w:pPr>
        <w:pStyle w:val="Heading2"/>
      </w:pPr>
      <w:r>
        <w:t xml:space="preserve">2.2 점자 변환 시스템과 기술 문서 점자</w:t>
      </w:r>
    </w:p>
    <w:p>
      <w:pPr>
        <w:pStyle w:val="FirstParagraph"/>
      </w:pPr>
      <w:r>
        <w:t xml:space="preserve">영어권 점자 변환은 100개 이상 언어를 지원하는 오픈소스 변환기 liblouis를 중심으로 발전해 왔다</w:t>
      </w:r>
      <w:r>
        <w:t xml:space="preserve"> </w:t>
      </w:r>
      <w:r>
        <w:t xml:space="preserve">[7]</w:t>
      </w:r>
      <w:r>
        <w:t xml:space="preserve">. 한국어의 경우 liblouis는 2006년 규정을 기준으로 한 1종 및 2종 점자 테이블을 제공하며, 일부 오픈소스 프로젝트가 2017년 개정을 구현한다</w:t>
      </w:r>
      <w:r>
        <w:t xml:space="preserve"> </w:t>
      </w:r>
      <w:r>
        <w:t xml:space="preserve">[8,9]</w:t>
      </w:r>
      <w:r>
        <w:t xml:space="preserve">. 그러나 이러한 도구는 문자 단위 변환기에 가깝고, 규제 코드, 과학적 표기, 대규모 코퍼스 구축과 같은 영역 단위 문제를 직접 다루지는 않는다.</w:t>
      </w:r>
    </w:p>
    <w:p>
      <w:pPr>
        <w:pStyle w:val="BodyText"/>
      </w:pPr>
      <w:r>
        <w:t xml:space="preserve">기술 문서 점자 연구는 주로 수학 및 STEM 교육, MathML-점자 변환, 촉각 그래픽에 집중되어 왔다. 반면 법령, 안전 문서, 행정 문서와 같은 대규모 규제 본문을 일급 점자 자원으로 다룬 연구는 드물다. 본 연구는 한국 MSDS를 그러한 규제 문서 점자의 사례로 다룬다.</w:t>
      </w:r>
    </w:p>
    <w:bookmarkEnd w:id="12"/>
    <w:bookmarkStart w:id="13" w:name="화학-안전-정보-접근성"/>
    <w:p>
      <w:pPr>
        <w:pStyle w:val="Heading2"/>
      </w:pPr>
      <w:r>
        <w:t xml:space="preserve">2.3 화학 안전 정보 접근성</w:t>
      </w:r>
    </w:p>
    <w:p>
      <w:pPr>
        <w:pStyle w:val="FirstParagraph"/>
      </w:pPr>
      <w:r>
        <w:t xml:space="preserve">세계 조화 시스템(GHS)은 시각적 유해성 의사소통을 표준화하지만 점자 대응을 명시하지 않는다</w:t>
      </w:r>
      <w:r>
        <w:t xml:space="preserve"> </w:t>
      </w:r>
      <w:r>
        <w:t xml:space="preserve">[10]</w:t>
      </w:r>
      <w:r>
        <w:t xml:space="preserve">. 유럽연합은 의약품 포장에 제품명 점자를 의무화하지만</w:t>
      </w:r>
      <w:r>
        <w:t xml:space="preserve"> </w:t>
      </w:r>
      <w:r>
        <w:t xml:space="preserve">[11]</w:t>
      </w:r>
      <w:r>
        <w:t xml:space="preserve">, 이는 안전 문서 전체가 아니라 제품명 수준의 좁은 선례이다. 저자가 아는 한, 어떤 언어에서도 SDS/MSDS 전체를 대상으로 한 점자 코퍼스는 보고된 바 없다.</w:t>
      </w:r>
    </w:p>
    <w:bookmarkEnd w:id="13"/>
    <w:bookmarkStart w:id="14" w:name="한국-점자-규정"/>
    <w:p>
      <w:pPr>
        <w:pStyle w:val="Heading2"/>
      </w:pPr>
      <w:r>
        <w:t xml:space="preserve">2.4 한국 점자 규정</w:t>
      </w:r>
    </w:p>
    <w:p>
      <w:pPr>
        <w:pStyle w:val="FirstParagraph"/>
      </w:pPr>
      <w:r>
        <w:t xml:space="preserve">2017년 한국 점자 규정은 문화체육관광부 고시로 공포되었다</w:t>
      </w:r>
      <w:r>
        <w:t xml:space="preserve"> </w:t>
      </w:r>
      <w:r>
        <w:t xml:space="preserve">[12]</w:t>
      </w:r>
      <w:r>
        <w:t xml:space="preserve">. 한국 점자는 한글 음절을 초성, 중성, 선택적 종성으로 분해하고 각 구성 요소를 고정 점형에 대응시키는 구조를 갖는다.</w:t>
      </w:r>
    </w:p>
    <w:bookmarkEnd w:id="14"/>
    <w:bookmarkEnd w:id="15"/>
    <w:bookmarkStart w:id="24" w:name="시스템-구조"/>
    <w:p>
      <w:pPr>
        <w:pStyle w:val="Heading1"/>
      </w:pPr>
      <w:r>
        <w:t xml:space="preserve">3. 시스템 구조</w:t>
      </w:r>
    </w:p>
    <w:bookmarkStart w:id="19" w:name="데이터-파이프라인"/>
    <w:p>
      <w:pPr>
        <w:pStyle w:val="Heading2"/>
      </w:pPr>
      <w:r>
        <w:t xml:space="preserve">3.1 데이터 파이프라인</w:t>
      </w:r>
    </w:p>
    <w:p>
      <w:pPr>
        <w:pStyle w:val="FirstParagraph"/>
      </w:pPr>
      <w:r>
        <w:t xml:space="preserve">시스템은 데이터 획득, 추출, 인코딩, 전달의 네 단계로 구성된다.</w:t>
      </w:r>
    </w:p>
    <w:p>
      <w:pPr>
        <w:pStyle w:val="CaptionedFigure"/>
      </w:pPr>
      <w:r>
        <w:drawing>
          <wp:inline>
            <wp:extent cx="5486400" cy="1188720"/>
            <wp:effectExtent b="0" l="0" r="0" t="0"/>
            <wp:docPr descr="KOSHA-Braille 시스템 구조. MSDS 데이터를 KOSHA 공개 API에서 수집하고, GHS 픽토그램 변환을 포함해 파싱 및 정제한 뒤, 2017년 한국 점자 규정에 따라 점자로 인코딩하여 웹 인터페이스로 제공한다." title="" id="17" name="Picture"/>
            <a:graphic>
              <a:graphicData uri="http://schemas.openxmlformats.org/drawingml/2006/picture">
                <pic:pic>
                  <pic:nvPicPr>
                    <pic:cNvPr descr="fig_pipeline.png" id="18" name="Picture"/>
                    <pic:cNvPicPr>
                      <a:picLocks noChangeArrowheads="1" noChangeAspect="1"/>
                    </pic:cNvPicPr>
                  </pic:nvPicPr>
                  <pic:blipFill>
                    <a:blip r:embed="rId16"/>
                    <a:stretch>
                      <a:fillRect/>
                    </a:stretch>
                  </pic:blipFill>
                  <pic:spPr bwMode="auto">
                    <a:xfrm>
                      <a:off x="0" y="0"/>
                      <a:ext cx="5486400" cy="1188720"/>
                    </a:xfrm>
                    <a:prstGeom prst="rect">
                      <a:avLst/>
                    </a:prstGeom>
                    <a:noFill/>
                    <a:ln w="9525">
                      <a:noFill/>
                      <a:headEnd/>
                      <a:tailEnd/>
                    </a:ln>
                  </pic:spPr>
                </pic:pic>
              </a:graphicData>
            </a:graphic>
          </wp:inline>
        </w:drawing>
      </w:r>
    </w:p>
    <w:p>
      <w:pPr>
        <w:pStyle w:val="ImageCaption"/>
        <w:rPr>
          <w:i w:val="0"/>
          <w:iCs/>
        </w:rPr>
      </w:pPr>
      <w:r>
        <w:rPr>
          <w:i w:val="0"/>
          <w:iCs/>
        </w:rPr>
        <w:t xml:space="preserve">그림 1. 시스템 구조</w:t>
      </w:r>
    </w:p>
    <w:p>
      <w:pPr>
        <w:pStyle w:val="ImageCaption"/>
      </w:pPr>
      <w:r>
        <w:t xml:space="preserve">KOSHA-Braille 시스템 구조. MSDS 데이터를 KOSHA 공개 API에서 수집하고, GHS 픽토그램 변환을 포함해 파싱 및 정제한 뒤, 2017년 한국 점자 규정에 따라 점자로 인코딩하여 웹 인터페이스로 제공한다.</w:t>
      </w:r>
    </w:p>
    <w:p>
      <w:pPr>
        <w:pStyle w:val="Compact"/>
        <w:numPr>
          <w:ilvl w:val="0"/>
          <w:numId w:val="1001"/>
        </w:numPr>
      </w:pPr>
      <w:r>
        <w:rPr>
          <w:b/>
          <w:bCs/>
        </w:rPr>
        <w:t xml:space="preserve">데이터 획득:</w:t>
      </w:r>
      <w:r>
        <w:t xml:space="preserve"> </w:t>
      </w:r>
      <w:r>
        <w:t xml:space="preserve">KOSHA MSDS 데이터는 공공데이터포털 REST API를 통해 수집되며</w:t>
      </w:r>
      <w:r>
        <w:t xml:space="preserve"> </w:t>
      </w:r>
      <w:r>
        <w:t xml:space="preserve">[13]</w:t>
      </w:r>
      <w:r>
        <w:t xml:space="preserve">, 화학물질별 16개 표준 MSDS 섹션을 XML 형식으로 제공한다.</w:t>
      </w:r>
    </w:p>
    <w:p>
      <w:pPr>
        <w:pStyle w:val="Compact"/>
        <w:numPr>
          <w:ilvl w:val="0"/>
          <w:numId w:val="1001"/>
        </w:numPr>
      </w:pPr>
      <w:r>
        <w:rPr>
          <w:b/>
          <w:bCs/>
        </w:rPr>
        <w:t xml:space="preserve">본문 추출:</w:t>
      </w:r>
      <w:r>
        <w:t xml:space="preserve"> </w:t>
      </w:r>
      <w:r>
        <w:t xml:space="preserve">XML 응답에서 한국어 본문을 파싱한다.</w:t>
      </w:r>
      <w:r>
        <w:t xml:space="preserve"> </w:t>
      </w:r>
      <w:r>
        <w:rPr>
          <w:rStyle w:val="VerbatimChar"/>
        </w:rPr>
        <w:t xml:space="preserve">GHS06.gif</w:t>
      </w:r>
      <w:r>
        <w:t xml:space="preserve"> </w:t>
      </w:r>
      <w:r>
        <w:t xml:space="preserve">같은 GHS 픽토그램 참조는</w:t>
      </w:r>
      <w:r>
        <w:t xml:space="preserve"> </w:t>
      </w:r>
      <w:r>
        <w:rPr>
          <w:rStyle w:val="VerbatimChar"/>
        </w:rPr>
        <w:t xml:space="preserve">급성독성</w:t>
      </w:r>
      <w:r>
        <w:t xml:space="preserve"> </w:t>
      </w:r>
      <w:r>
        <w:t xml:space="preserve">같은 서술적 한국어 텍스트로 바꾼다.</w:t>
      </w:r>
    </w:p>
    <w:p>
      <w:pPr>
        <w:pStyle w:val="Compact"/>
        <w:numPr>
          <w:ilvl w:val="0"/>
          <w:numId w:val="1001"/>
        </w:numPr>
      </w:pPr>
      <w:r>
        <w:rPr>
          <w:b/>
          <w:bCs/>
        </w:rPr>
        <w:t xml:space="preserve">점자 인코딩:</w:t>
      </w:r>
      <w:r>
        <w:t xml:space="preserve"> </w:t>
      </w:r>
      <w:r>
        <w:t xml:space="preserve">한국어 본문을 2017년 한국 점자 규정에 따라 유니코드 점자(U+2800-U+28FF)로 변환한다.</w:t>
      </w:r>
    </w:p>
    <w:p>
      <w:pPr>
        <w:pStyle w:val="Compact"/>
        <w:numPr>
          <w:ilvl w:val="0"/>
          <w:numId w:val="1001"/>
        </w:numPr>
      </w:pPr>
      <w:r>
        <w:rPr>
          <w:b/>
          <w:bCs/>
        </w:rPr>
        <w:t xml:space="preserve">전달:</w:t>
      </w:r>
      <w:r>
        <w:t xml:space="preserve"> </w:t>
      </w:r>
      <w:r>
        <w:t xml:space="preserve">FastAPI 백엔드는 REST API를 제공하고, 참조 프런트엔드는 검색과 한국어/점자 병렬 보기를 제공한다. 다운로드는 BRF 및 유니코드</w:t>
      </w:r>
      <w:r>
        <w:t xml:space="preserve"> </w:t>
      </w:r>
      <w:r>
        <w:rPr>
          <w:rStyle w:val="VerbatimChar"/>
        </w:rPr>
        <w:t xml:space="preserve">.txt</w:t>
      </w:r>
      <w:r>
        <w:t xml:space="preserve"> </w:t>
      </w:r>
      <w:r>
        <w:t xml:space="preserve">형식으로 제공된다.</w:t>
      </w:r>
    </w:p>
    <w:bookmarkEnd w:id="19"/>
    <w:bookmarkStart w:id="23" w:name="한국어-점자-인코딩"/>
    <w:p>
      <w:pPr>
        <w:pStyle w:val="Heading2"/>
      </w:pPr>
      <w:r>
        <w:t xml:space="preserve">3.2 한국어 점자 인코딩</w:t>
      </w:r>
    </w:p>
    <w:p>
      <w:pPr>
        <w:pStyle w:val="FirstParagraph"/>
      </w:pPr>
      <w:r>
        <w:t xml:space="preserve">인코딩은 결정론적이고 손실이 없다. 각 한글 음절은 유니코드 산술을 통해 초성, 중성, 종성으로 분해되며, 각 요소는 고정 점형에 대응한다. 인코더는 한글, 숫자, 라틴 문자, 문장부호를 각각 적절한 점자 표시 부호와 함께 처리한다. 쌍자음은 6점 접두 셀을 사용하고, 복합 모음과 복합 종성은 다중 셀 시퀀스로 표현한다.</w:t>
      </w:r>
    </w:p>
    <w:p>
      <w:pPr>
        <w:pStyle w:val="CaptionedFigure"/>
      </w:pPr>
      <w:r>
        <w:drawing>
          <wp:inline>
            <wp:extent cx="5486400" cy="2971800"/>
            <wp:effectExtent b="0" l="0" r="0" t="0"/>
            <wp:docPr descr="두 대표 MSDS 토큰의 인코딩 예시. 한글 음절을 초성/중성/종성으로 분해한 뒤 각 자모를 한국 점자 셀로 방출한다." title="" id="21" name="Picture"/>
            <a:graphic>
              <a:graphicData uri="http://schemas.openxmlformats.org/drawingml/2006/picture">
                <pic:pic>
                  <pic:nvPicPr>
                    <pic:cNvPr descr="fig_encoding_example.png" id="22" name="Picture"/>
                    <pic:cNvPicPr>
                      <a:picLocks noChangeArrowheads="1" noChangeAspect="1"/>
                    </pic:cNvPicPr>
                  </pic:nvPicPr>
                  <pic:blipFill>
                    <a:blip r:embed="rId20"/>
                    <a:stretch>
                      <a:fillRect/>
                    </a:stretch>
                  </pic:blipFill>
                  <pic:spPr bwMode="auto">
                    <a:xfrm>
                      <a:off x="0" y="0"/>
                      <a:ext cx="5486400" cy="2971800"/>
                    </a:xfrm>
                    <a:prstGeom prst="rect">
                      <a:avLst/>
                    </a:prstGeom>
                    <a:noFill/>
                    <a:ln w="9525">
                      <a:noFill/>
                      <a:headEnd/>
                      <a:tailEnd/>
                    </a:ln>
                  </pic:spPr>
                </pic:pic>
              </a:graphicData>
            </a:graphic>
          </wp:inline>
        </w:drawing>
      </w:r>
    </w:p>
    <w:p>
      <w:pPr>
        <w:pStyle w:val="ImageCaption"/>
        <w:rPr>
          <w:i w:val="0"/>
          <w:iCs/>
        </w:rPr>
      </w:pPr>
      <w:r>
        <w:rPr>
          <w:i w:val="0"/>
          <w:iCs/>
        </w:rPr>
        <w:t xml:space="preserve">그림 2. 한국어 점자 인코딩 예시</w:t>
      </w:r>
    </w:p>
    <w:p>
      <w:pPr>
        <w:pStyle w:val="ImageCaption"/>
      </w:pPr>
      <w:r>
        <w:t xml:space="preserve">두 대표 MSDS 토큰의 인코딩 예시. 한글 음절을 초성/중성/종성으로 분해한 뒤 각 자모를 한국 점자 셀로 방출한다.</w:t>
      </w:r>
    </w:p>
    <w:p>
      <w:pPr>
        <w:pStyle w:val="FirstParagraph"/>
      </w:pPr>
      <w:r>
        <w:t xml:space="preserve">표 1, 표 2, 표 3은 각각 초성, 중성, 종성의 전체 점형 대응을 보여 준다.</w:t>
      </w:r>
    </w:p>
    <w:p>
      <w:pPr>
        <w:pStyle w:val="TableCaption"/>
      </w:pPr>
      <w:r>
        <w:t xml:space="preserve">표 1. 초성 점형 대응표</w:t>
      </w:r>
    </w:p>
    <w:tbl xmlns:w14="http://schemas.microsoft.com/office/word/2010/wordml">
      <w:tblPr>
        <w:tblStyle w:val="Table"/>
        <w:tblW w:w="0" w:type="auto"/>
        <w:tblLook w:val="0020" w:firstRow="1" w:lastRow="0" w:firstColumn="0" w:lastColumn="0" w:noHBand="0" w:noVBand="0"/>
      </w:tblPr>
      <w:tblGrid>
        <w:gridCol w:w="1366"/>
        <w:gridCol w:w="708"/>
        <w:gridCol w:w="1366"/>
        <w:gridCol w:w="974"/>
      </w:tblGrid>
      <w:tr w:rsidR="00683A80" w14:paraId="51989635"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56E9F614" w14:textId="77777777" w:rsidR="00683A80" w:rsidRDefault="00000000">
            <w:pPr>
              <w:pStyle w:val="Compact"/>
              <w:jc w:val="center"/>
            </w:pPr>
            <w:r>
              <w:t xml:space="preserve">자음</w:t>
            </w:r>
          </w:p>
        </w:tc>
        <w:tc>
          <w:tcPr>
            <w:tcW w:w="0" w:type="auto"/>
          </w:tcPr>
          <w:p w14:paraId="68925453" w14:textId="77777777" w:rsidR="00683A80" w:rsidRDefault="00000000">
            <w:pPr>
              <w:pStyle w:val="Compact"/>
              <w:jc w:val="center"/>
            </w:pPr>
            <w:r>
              <w:t xml:space="preserve">점형</w:t>
            </w:r>
          </w:p>
        </w:tc>
        <w:tc>
          <w:tcPr>
            <w:tcW w:w="0" w:type="auto"/>
          </w:tcPr>
          <w:p w14:paraId="50B9E60B" w14:textId="77777777" w:rsidR="00683A80" w:rsidRDefault="00000000">
            <w:pPr>
              <w:pStyle w:val="Compact"/>
              <w:jc w:val="center"/>
            </w:pPr>
            <w:r>
              <w:t xml:space="preserve">자음</w:t>
            </w:r>
          </w:p>
        </w:tc>
        <w:tc>
          <w:tcPr>
            <w:tcW w:w="0" w:type="auto"/>
          </w:tcPr>
          <w:p w14:paraId="06BB116F" w14:textId="77777777" w:rsidR="00683A80" w:rsidRDefault="00000000">
            <w:pPr>
              <w:pStyle w:val="Compact"/>
              <w:jc w:val="center"/>
            </w:pPr>
            <w:r>
              <w:t xml:space="preserve">점형</w:t>
            </w:r>
          </w:p>
        </w:tc>
      </w:tr>
      <w:tr w:rsidR="00683A80" w14:paraId="1B67498F" w14:textId="77777777">
        <w:tc>
          <w:tcPr>
            <w:tcW w:w="0" w:type="auto"/>
          </w:tcPr>
          <w:p w14:paraId="65C742A6" w14:textId="77777777" w:rsidR="00683A80" w:rsidRDefault="00000000">
            <w:pPr>
              <w:pStyle w:val="Compact"/>
              <w:jc w:val="center"/>
            </w:pPr>
            <w:r>
              <w:t>ㄱ</w:t>
            </w:r>
          </w:p>
        </w:tc>
        <w:tc>
          <w:tcPr>
            <w:tcW w:w="0" w:type="auto"/>
          </w:tcPr>
          <w:p w14:paraId="2854BA84" w14:textId="77777777" w:rsidR="00683A80" w:rsidRDefault="00000000">
            <w:pPr>
              <w:pStyle w:val="Compact"/>
              <w:jc w:val="center"/>
            </w:pPr>
            <w:r>
              <w:t>4</w:t>
            </w:r>
          </w:p>
        </w:tc>
        <w:tc>
          <w:tcPr>
            <w:tcW w:w="0" w:type="auto"/>
          </w:tcPr>
          <w:p w14:paraId="5584161F" w14:textId="77777777" w:rsidR="00683A80" w:rsidRDefault="00000000">
            <w:pPr>
              <w:pStyle w:val="Compact"/>
              <w:jc w:val="center"/>
            </w:pPr>
            <w:r>
              <w:t>ㅅ</w:t>
            </w:r>
          </w:p>
        </w:tc>
        <w:tc>
          <w:tcPr>
            <w:tcW w:w="0" w:type="auto"/>
          </w:tcPr>
          <w:p w14:paraId="475177A1" w14:textId="77777777" w:rsidR="00683A80" w:rsidRDefault="00000000">
            <w:pPr>
              <w:pStyle w:val="Compact"/>
              <w:jc w:val="center"/>
            </w:pPr>
            <w:r>
              <w:t>6</w:t>
            </w:r>
          </w:p>
        </w:tc>
      </w:tr>
      <w:tr w:rsidR="00683A80" w14:paraId="76049482" w14:textId="77777777">
        <w:tc>
          <w:tcPr>
            <w:tcW w:w="0" w:type="auto"/>
          </w:tcPr>
          <w:p w14:paraId="647DC645" w14:textId="77777777" w:rsidR="00683A80" w:rsidRDefault="00000000">
            <w:pPr>
              <w:pStyle w:val="Compact"/>
              <w:jc w:val="center"/>
            </w:pPr>
            <w:r>
              <w:t>ㄴ</w:t>
            </w:r>
          </w:p>
        </w:tc>
        <w:tc>
          <w:tcPr>
            <w:tcW w:w="0" w:type="auto"/>
          </w:tcPr>
          <w:p w14:paraId="482C1E4E" w14:textId="77777777" w:rsidR="00683A80" w:rsidRDefault="00000000">
            <w:pPr>
              <w:pStyle w:val="Compact"/>
              <w:jc w:val="center"/>
            </w:pPr>
            <w:r>
              <w:t>1-4</w:t>
            </w:r>
          </w:p>
        </w:tc>
        <w:tc>
          <w:tcPr>
            <w:tcW w:w="0" w:type="auto"/>
          </w:tcPr>
          <w:p w14:paraId="5F937CFC" w14:textId="77777777" w:rsidR="00683A80" w:rsidRDefault="00000000">
            <w:pPr>
              <w:pStyle w:val="Compact"/>
              <w:jc w:val="center"/>
            </w:pPr>
            <w:r>
              <w:t>ㅇ</w:t>
            </w:r>
          </w:p>
        </w:tc>
        <w:tc>
          <w:tcPr>
            <w:tcW w:w="0" w:type="auto"/>
          </w:tcPr>
          <w:p w14:paraId="382EC9E8" w14:textId="77777777" w:rsidR="00683A80" w:rsidRDefault="00000000">
            <w:pPr>
              <w:pStyle w:val="Compact"/>
              <w:jc w:val="center"/>
            </w:pPr>
            <w:r>
              <w:t>1-2-4-5</w:t>
            </w:r>
          </w:p>
        </w:tc>
      </w:tr>
      <w:tr w:rsidR="00683A80" w14:paraId="22EB1627" w14:textId="77777777">
        <w:tc>
          <w:tcPr>
            <w:tcW w:w="0" w:type="auto"/>
          </w:tcPr>
          <w:p w14:paraId="28C22727" w14:textId="77777777" w:rsidR="00683A80" w:rsidRDefault="00000000">
            <w:pPr>
              <w:pStyle w:val="Compact"/>
              <w:jc w:val="center"/>
            </w:pPr>
            <w:r>
              <w:t>ㄷ</w:t>
            </w:r>
          </w:p>
        </w:tc>
        <w:tc>
          <w:tcPr>
            <w:tcW w:w="0" w:type="auto"/>
          </w:tcPr>
          <w:p w14:paraId="3B64DA9C" w14:textId="77777777" w:rsidR="00683A80" w:rsidRDefault="00000000">
            <w:pPr>
              <w:pStyle w:val="Compact"/>
              <w:jc w:val="center"/>
            </w:pPr>
            <w:r>
              <w:t>2-4</w:t>
            </w:r>
          </w:p>
        </w:tc>
        <w:tc>
          <w:tcPr>
            <w:tcW w:w="0" w:type="auto"/>
          </w:tcPr>
          <w:p w14:paraId="27236B8A" w14:textId="77777777" w:rsidR="00683A80" w:rsidRDefault="00000000">
            <w:pPr>
              <w:pStyle w:val="Compact"/>
              <w:jc w:val="center"/>
            </w:pPr>
            <w:r>
              <w:t>ㅈ</w:t>
            </w:r>
          </w:p>
        </w:tc>
        <w:tc>
          <w:tcPr>
            <w:tcW w:w="0" w:type="auto"/>
          </w:tcPr>
          <w:p w14:paraId="14E150F2" w14:textId="77777777" w:rsidR="00683A80" w:rsidRDefault="00000000">
            <w:pPr>
              <w:pStyle w:val="Compact"/>
              <w:jc w:val="center"/>
            </w:pPr>
            <w:r>
              <w:t>4-6</w:t>
            </w:r>
          </w:p>
        </w:tc>
      </w:tr>
      <w:tr w:rsidR="00683A80" w14:paraId="6B08B926" w14:textId="77777777">
        <w:tc>
          <w:tcPr>
            <w:tcW w:w="0" w:type="auto"/>
          </w:tcPr>
          <w:p w14:paraId="2FBD9F86" w14:textId="77777777" w:rsidR="00683A80" w:rsidRDefault="00000000">
            <w:pPr>
              <w:pStyle w:val="Compact"/>
              <w:jc w:val="center"/>
            </w:pPr>
            <w:r>
              <w:lastRenderedPageBreak/>
              <w:t>ㄹ</w:t>
            </w:r>
          </w:p>
        </w:tc>
        <w:tc>
          <w:tcPr>
            <w:tcW w:w="0" w:type="auto"/>
          </w:tcPr>
          <w:p w14:paraId="189DAADA" w14:textId="77777777" w:rsidR="00683A80" w:rsidRDefault="00000000">
            <w:pPr>
              <w:pStyle w:val="Compact"/>
              <w:jc w:val="center"/>
            </w:pPr>
            <w:r>
              <w:t>5</w:t>
            </w:r>
          </w:p>
        </w:tc>
        <w:tc>
          <w:tcPr>
            <w:tcW w:w="0" w:type="auto"/>
          </w:tcPr>
          <w:p w14:paraId="73B0387F" w14:textId="77777777" w:rsidR="00683A80" w:rsidRDefault="00000000">
            <w:pPr>
              <w:pStyle w:val="Compact"/>
              <w:jc w:val="center"/>
            </w:pPr>
            <w:r>
              <w:t>ㅊ</w:t>
            </w:r>
          </w:p>
        </w:tc>
        <w:tc>
          <w:tcPr>
            <w:tcW w:w="0" w:type="auto"/>
          </w:tcPr>
          <w:p w14:paraId="4A744F08" w14:textId="77777777" w:rsidR="00683A80" w:rsidRDefault="00000000">
            <w:pPr>
              <w:pStyle w:val="Compact"/>
              <w:jc w:val="center"/>
            </w:pPr>
            <w:r>
              <w:t>5-6</w:t>
            </w:r>
          </w:p>
        </w:tc>
      </w:tr>
      <w:tr w:rsidR="00683A80" w14:paraId="57895D77" w14:textId="77777777">
        <w:tc>
          <w:tcPr>
            <w:tcW w:w="0" w:type="auto"/>
          </w:tcPr>
          <w:p w14:paraId="48B3DF70" w14:textId="77777777" w:rsidR="00683A80" w:rsidRDefault="00000000">
            <w:pPr>
              <w:pStyle w:val="Compact"/>
              <w:jc w:val="center"/>
            </w:pPr>
            <w:r>
              <w:t>ㅁ</w:t>
            </w:r>
          </w:p>
        </w:tc>
        <w:tc>
          <w:tcPr>
            <w:tcW w:w="0" w:type="auto"/>
          </w:tcPr>
          <w:p w14:paraId="378FB69C" w14:textId="77777777" w:rsidR="00683A80" w:rsidRDefault="00000000">
            <w:pPr>
              <w:pStyle w:val="Compact"/>
              <w:jc w:val="center"/>
            </w:pPr>
            <w:r>
              <w:t>1-5</w:t>
            </w:r>
          </w:p>
        </w:tc>
        <w:tc>
          <w:tcPr>
            <w:tcW w:w="0" w:type="auto"/>
          </w:tcPr>
          <w:p w14:paraId="1F5D603B" w14:textId="77777777" w:rsidR="00683A80" w:rsidRDefault="00000000">
            <w:pPr>
              <w:pStyle w:val="Compact"/>
              <w:jc w:val="center"/>
            </w:pPr>
            <w:r>
              <w:t>ㅋ</w:t>
            </w:r>
          </w:p>
        </w:tc>
        <w:tc>
          <w:tcPr>
            <w:tcW w:w="0" w:type="auto"/>
          </w:tcPr>
          <w:p w14:paraId="5C417DF1" w14:textId="77777777" w:rsidR="00683A80" w:rsidRDefault="00000000">
            <w:pPr>
              <w:pStyle w:val="Compact"/>
              <w:jc w:val="center"/>
            </w:pPr>
            <w:r>
              <w:t>1-2-4</w:t>
            </w:r>
          </w:p>
        </w:tc>
      </w:tr>
      <w:tr w:rsidR="00683A80" w14:paraId="2AB7703C" w14:textId="77777777">
        <w:tc>
          <w:tcPr>
            <w:tcW w:w="0" w:type="auto"/>
          </w:tcPr>
          <w:p w14:paraId="4BD3930B" w14:textId="77777777" w:rsidR="00683A80" w:rsidRDefault="00000000">
            <w:pPr>
              <w:pStyle w:val="Compact"/>
              <w:jc w:val="center"/>
            </w:pPr>
            <w:r>
              <w:t>ㅂ</w:t>
            </w:r>
          </w:p>
        </w:tc>
        <w:tc>
          <w:tcPr>
            <w:tcW w:w="0" w:type="auto"/>
          </w:tcPr>
          <w:p w14:paraId="0EBCEDA8" w14:textId="77777777" w:rsidR="00683A80" w:rsidRDefault="00000000">
            <w:pPr>
              <w:pStyle w:val="Compact"/>
              <w:jc w:val="center"/>
            </w:pPr>
            <w:r>
              <w:t>4-5</w:t>
            </w:r>
          </w:p>
        </w:tc>
        <w:tc>
          <w:tcPr>
            <w:tcW w:w="0" w:type="auto"/>
          </w:tcPr>
          <w:p w14:paraId="00F605A6" w14:textId="77777777" w:rsidR="00683A80" w:rsidRDefault="00000000">
            <w:pPr>
              <w:pStyle w:val="Compact"/>
              <w:jc w:val="center"/>
            </w:pPr>
            <w:r>
              <w:t>ㅌ</w:t>
            </w:r>
          </w:p>
        </w:tc>
        <w:tc>
          <w:tcPr>
            <w:tcW w:w="0" w:type="auto"/>
          </w:tcPr>
          <w:p w14:paraId="79436CF2" w14:textId="77777777" w:rsidR="00683A80" w:rsidRDefault="00000000">
            <w:pPr>
              <w:pStyle w:val="Compact"/>
              <w:jc w:val="center"/>
            </w:pPr>
            <w:r>
              <w:t>1-2-5</w:t>
            </w:r>
          </w:p>
        </w:tc>
      </w:tr>
      <w:tr w:rsidR="00683A80" w14:paraId="6C6A96CE" w14:textId="77777777">
        <w:tc>
          <w:tcPr>
            <w:tcW w:w="0" w:type="auto"/>
          </w:tcPr>
          <w:p w14:paraId="5A59779A" w14:textId="77777777" w:rsidR="00683A80" w:rsidRDefault="00683A80">
            <w:pPr>
              <w:pStyle w:val="Compact"/>
            </w:pPr>
          </w:p>
        </w:tc>
        <w:tc>
          <w:tcPr>
            <w:tcW w:w="0" w:type="auto"/>
          </w:tcPr>
          <w:p w14:paraId="354E2590" w14:textId="77777777" w:rsidR="00683A80" w:rsidRDefault="00683A80">
            <w:pPr>
              <w:pStyle w:val="Compact"/>
            </w:pPr>
          </w:p>
        </w:tc>
        <w:tc>
          <w:tcPr>
            <w:tcW w:w="0" w:type="auto"/>
          </w:tcPr>
          <w:p w14:paraId="1203DE41" w14:textId="77777777" w:rsidR="00683A80" w:rsidRDefault="00000000">
            <w:pPr>
              <w:pStyle w:val="Compact"/>
              <w:jc w:val="center"/>
            </w:pPr>
            <w:r>
              <w:t>ㅍ</w:t>
            </w:r>
          </w:p>
        </w:tc>
        <w:tc>
          <w:tcPr>
            <w:tcW w:w="0" w:type="auto"/>
          </w:tcPr>
          <w:p w14:paraId="39722E64" w14:textId="77777777" w:rsidR="00683A80" w:rsidRDefault="00000000">
            <w:pPr>
              <w:pStyle w:val="Compact"/>
              <w:jc w:val="center"/>
            </w:pPr>
            <w:r>
              <w:t>1-4-5</w:t>
            </w:r>
          </w:p>
        </w:tc>
      </w:tr>
      <w:tr w:rsidR="00683A80" w14:paraId="53E26987" w14:textId="77777777">
        <w:tc>
          <w:tcPr>
            <w:tcW w:w="0" w:type="auto"/>
          </w:tcPr>
          <w:p w14:paraId="50284CEE" w14:textId="77777777" w:rsidR="00683A80" w:rsidRDefault="00683A80">
            <w:pPr>
              <w:pStyle w:val="Compact"/>
            </w:pPr>
          </w:p>
        </w:tc>
        <w:tc>
          <w:tcPr>
            <w:tcW w:w="0" w:type="auto"/>
          </w:tcPr>
          <w:p w14:paraId="351C161C" w14:textId="77777777" w:rsidR="00683A80" w:rsidRDefault="00683A80">
            <w:pPr>
              <w:pStyle w:val="Compact"/>
            </w:pPr>
          </w:p>
        </w:tc>
        <w:tc>
          <w:tcPr>
            <w:tcW w:w="0" w:type="auto"/>
          </w:tcPr>
          <w:p w14:paraId="11890D3C" w14:textId="77777777" w:rsidR="00683A80" w:rsidRDefault="00000000">
            <w:pPr>
              <w:pStyle w:val="Compact"/>
              <w:jc w:val="center"/>
            </w:pPr>
            <w:r>
              <w:t>ㅎ</w:t>
            </w:r>
          </w:p>
        </w:tc>
        <w:tc>
          <w:tcPr>
            <w:tcW w:w="0" w:type="auto"/>
          </w:tcPr>
          <w:p w14:paraId="51CD8133" w14:textId="77777777" w:rsidR="00683A80" w:rsidRDefault="00000000">
            <w:pPr>
              <w:pStyle w:val="Compact"/>
              <w:jc w:val="center"/>
            </w:pPr>
            <w:r>
              <w:t>2-4-5</w:t>
            </w:r>
          </w:p>
        </w:tc>
      </w:tr>
    </w:tbl>
    <w:p>
      <w:pPr>
        <w:pStyle w:val="TableCaption"/>
      </w:pPr>
      <w:r>
        <w:t xml:space="preserve">표 2. 중성 점형 대응표</w:t>
      </w:r>
    </w:p>
    <w:tbl xmlns:w14="http://schemas.microsoft.com/office/word/2010/wordml">
      <w:tblPr>
        <w:tblStyle w:val="Table"/>
        <w:tblW w:w="0" w:type="auto"/>
        <w:tblLook w:val="0020" w:firstRow="1" w:lastRow="0" w:firstColumn="0" w:lastColumn="0" w:noHBand="0" w:noVBand="0"/>
      </w:tblPr>
      <w:tblGrid>
        <w:gridCol w:w="851"/>
        <w:gridCol w:w="974"/>
        <w:gridCol w:w="851"/>
        <w:gridCol w:w="974"/>
      </w:tblGrid>
      <w:tr w:rsidR="00683A80" w14:paraId="055231B2"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20DD04" w14:textId="77777777" w:rsidR="00683A80" w:rsidRDefault="00000000">
            <w:pPr>
              <w:pStyle w:val="Compact"/>
              <w:jc w:val="center"/>
            </w:pPr>
            <w:r>
              <w:t xml:space="preserve">모음</w:t>
            </w:r>
          </w:p>
        </w:tc>
        <w:tc>
          <w:tcPr>
            <w:tcW w:w="0" w:type="auto"/>
          </w:tcPr>
          <w:p w14:paraId="76CBAAC2" w14:textId="77777777" w:rsidR="00683A80" w:rsidRDefault="00000000">
            <w:pPr>
              <w:pStyle w:val="Compact"/>
              <w:jc w:val="center"/>
            </w:pPr>
            <w:r>
              <w:t xml:space="preserve">점형</w:t>
            </w:r>
          </w:p>
        </w:tc>
        <w:tc>
          <w:tcPr>
            <w:tcW w:w="0" w:type="auto"/>
          </w:tcPr>
          <w:p w14:paraId="7E62B92D" w14:textId="77777777" w:rsidR="00683A80" w:rsidRDefault="00000000">
            <w:pPr>
              <w:pStyle w:val="Compact"/>
              <w:jc w:val="center"/>
            </w:pPr>
            <w:r>
              <w:t xml:space="preserve">모음</w:t>
            </w:r>
          </w:p>
        </w:tc>
        <w:tc>
          <w:tcPr>
            <w:tcW w:w="0" w:type="auto"/>
          </w:tcPr>
          <w:p w14:paraId="2C66F859" w14:textId="77777777" w:rsidR="00683A80" w:rsidRDefault="00000000">
            <w:pPr>
              <w:pStyle w:val="Compact"/>
              <w:jc w:val="center"/>
            </w:pPr>
            <w:r>
              <w:t xml:space="preserve">점형</w:t>
            </w:r>
          </w:p>
        </w:tc>
      </w:tr>
      <w:tr w:rsidR="00683A80" w14:paraId="199AADCF" w14:textId="77777777">
        <w:tc>
          <w:tcPr>
            <w:tcW w:w="0" w:type="auto"/>
          </w:tcPr>
          <w:p w14:paraId="3D493874" w14:textId="77777777" w:rsidR="00683A80" w:rsidRDefault="00000000">
            <w:pPr>
              <w:pStyle w:val="Compact"/>
              <w:jc w:val="center"/>
            </w:pPr>
            <w:r>
              <w:t>ㅏ</w:t>
            </w:r>
          </w:p>
        </w:tc>
        <w:tc>
          <w:tcPr>
            <w:tcW w:w="0" w:type="auto"/>
          </w:tcPr>
          <w:p w14:paraId="3D079C39" w14:textId="77777777" w:rsidR="00683A80" w:rsidRDefault="00000000">
            <w:pPr>
              <w:pStyle w:val="Compact"/>
              <w:jc w:val="center"/>
            </w:pPr>
            <w:r>
              <w:t>1-2-6</w:t>
            </w:r>
          </w:p>
        </w:tc>
        <w:tc>
          <w:tcPr>
            <w:tcW w:w="0" w:type="auto"/>
          </w:tcPr>
          <w:p w14:paraId="680107A1" w14:textId="77777777" w:rsidR="00683A80" w:rsidRDefault="00000000">
            <w:pPr>
              <w:pStyle w:val="Compact"/>
              <w:jc w:val="center"/>
            </w:pPr>
            <w:r>
              <w:t>ㅗ</w:t>
            </w:r>
          </w:p>
        </w:tc>
        <w:tc>
          <w:tcPr>
            <w:tcW w:w="0" w:type="auto"/>
          </w:tcPr>
          <w:p w14:paraId="0A8E8BED" w14:textId="77777777" w:rsidR="00683A80" w:rsidRDefault="00000000">
            <w:pPr>
              <w:pStyle w:val="Compact"/>
              <w:jc w:val="center"/>
            </w:pPr>
            <w:r>
              <w:t>1-3-6</w:t>
            </w:r>
          </w:p>
        </w:tc>
      </w:tr>
      <w:tr w:rsidR="00683A80" w14:paraId="03D85B0B" w14:textId="77777777">
        <w:tc>
          <w:tcPr>
            <w:tcW w:w="0" w:type="auto"/>
          </w:tcPr>
          <w:p w14:paraId="5E0AA634" w14:textId="77777777" w:rsidR="00683A80" w:rsidRDefault="00000000">
            <w:pPr>
              <w:pStyle w:val="Compact"/>
              <w:jc w:val="center"/>
            </w:pPr>
            <w:r>
              <w:t>ㅐ</w:t>
            </w:r>
          </w:p>
        </w:tc>
        <w:tc>
          <w:tcPr>
            <w:tcW w:w="0" w:type="auto"/>
          </w:tcPr>
          <w:p w14:paraId="59970815" w14:textId="77777777" w:rsidR="00683A80" w:rsidRDefault="00000000">
            <w:pPr>
              <w:pStyle w:val="Compact"/>
              <w:jc w:val="center"/>
            </w:pPr>
            <w:r>
              <w:t>1-2-3-5</w:t>
            </w:r>
          </w:p>
        </w:tc>
        <w:tc>
          <w:tcPr>
            <w:tcW w:w="0" w:type="auto"/>
          </w:tcPr>
          <w:p w14:paraId="121DFCC0" w14:textId="77777777" w:rsidR="00683A80" w:rsidRDefault="00000000">
            <w:pPr>
              <w:pStyle w:val="Compact"/>
              <w:jc w:val="center"/>
            </w:pPr>
            <w:r>
              <w:t>ㅛ</w:t>
            </w:r>
          </w:p>
        </w:tc>
        <w:tc>
          <w:tcPr>
            <w:tcW w:w="0" w:type="auto"/>
          </w:tcPr>
          <w:p w14:paraId="2376138A" w14:textId="77777777" w:rsidR="00683A80" w:rsidRDefault="00000000">
            <w:pPr>
              <w:pStyle w:val="Compact"/>
              <w:jc w:val="center"/>
            </w:pPr>
            <w:r>
              <w:t>3-4-6</w:t>
            </w:r>
          </w:p>
        </w:tc>
      </w:tr>
      <w:tr w:rsidR="00683A80" w14:paraId="4A360869" w14:textId="77777777">
        <w:tc>
          <w:tcPr>
            <w:tcW w:w="0" w:type="auto"/>
          </w:tcPr>
          <w:p w14:paraId="1E297A88" w14:textId="77777777" w:rsidR="00683A80" w:rsidRDefault="00000000">
            <w:pPr>
              <w:pStyle w:val="Compact"/>
              <w:jc w:val="center"/>
            </w:pPr>
            <w:r>
              <w:t>ㅑ</w:t>
            </w:r>
          </w:p>
        </w:tc>
        <w:tc>
          <w:tcPr>
            <w:tcW w:w="0" w:type="auto"/>
          </w:tcPr>
          <w:p w14:paraId="384E7C76" w14:textId="77777777" w:rsidR="00683A80" w:rsidRDefault="00000000">
            <w:pPr>
              <w:pStyle w:val="Compact"/>
              <w:jc w:val="center"/>
            </w:pPr>
            <w:r>
              <w:t>3-4-5</w:t>
            </w:r>
          </w:p>
        </w:tc>
        <w:tc>
          <w:tcPr>
            <w:tcW w:w="0" w:type="auto"/>
          </w:tcPr>
          <w:p w14:paraId="36099887" w14:textId="77777777" w:rsidR="00683A80" w:rsidRDefault="00000000">
            <w:pPr>
              <w:pStyle w:val="Compact"/>
              <w:jc w:val="center"/>
            </w:pPr>
            <w:r>
              <w:t>ㅜ</w:t>
            </w:r>
          </w:p>
        </w:tc>
        <w:tc>
          <w:tcPr>
            <w:tcW w:w="0" w:type="auto"/>
          </w:tcPr>
          <w:p w14:paraId="292D4ED5" w14:textId="77777777" w:rsidR="00683A80" w:rsidRDefault="00000000">
            <w:pPr>
              <w:pStyle w:val="Compact"/>
              <w:jc w:val="center"/>
            </w:pPr>
            <w:r>
              <w:t>1-3-4</w:t>
            </w:r>
          </w:p>
        </w:tc>
      </w:tr>
      <w:tr w:rsidR="00683A80" w14:paraId="093CAE56" w14:textId="77777777">
        <w:tc>
          <w:tcPr>
            <w:tcW w:w="0" w:type="auto"/>
          </w:tcPr>
          <w:p w14:paraId="15ED857B" w14:textId="77777777" w:rsidR="00683A80" w:rsidRDefault="00000000">
            <w:pPr>
              <w:pStyle w:val="Compact"/>
              <w:jc w:val="center"/>
            </w:pPr>
            <w:r>
              <w:t>ㅓ</w:t>
            </w:r>
          </w:p>
        </w:tc>
        <w:tc>
          <w:tcPr>
            <w:tcW w:w="0" w:type="auto"/>
          </w:tcPr>
          <w:p w14:paraId="54267149" w14:textId="77777777" w:rsidR="00683A80" w:rsidRDefault="00000000">
            <w:pPr>
              <w:pStyle w:val="Compact"/>
              <w:jc w:val="center"/>
            </w:pPr>
            <w:r>
              <w:t>2-3-4</w:t>
            </w:r>
          </w:p>
        </w:tc>
        <w:tc>
          <w:tcPr>
            <w:tcW w:w="0" w:type="auto"/>
          </w:tcPr>
          <w:p w14:paraId="61D4E0CC" w14:textId="77777777" w:rsidR="00683A80" w:rsidRDefault="00000000">
            <w:pPr>
              <w:pStyle w:val="Compact"/>
              <w:jc w:val="center"/>
            </w:pPr>
            <w:r>
              <w:t>ㅠ</w:t>
            </w:r>
          </w:p>
        </w:tc>
        <w:tc>
          <w:tcPr>
            <w:tcW w:w="0" w:type="auto"/>
          </w:tcPr>
          <w:p w14:paraId="3EC0E5CD" w14:textId="77777777" w:rsidR="00683A80" w:rsidRDefault="00000000">
            <w:pPr>
              <w:pStyle w:val="Compact"/>
              <w:jc w:val="center"/>
            </w:pPr>
            <w:r>
              <w:t>1-4-6</w:t>
            </w:r>
          </w:p>
        </w:tc>
      </w:tr>
      <w:tr w:rsidR="00683A80" w14:paraId="58D8C227" w14:textId="77777777">
        <w:tc>
          <w:tcPr>
            <w:tcW w:w="0" w:type="auto"/>
          </w:tcPr>
          <w:p w14:paraId="77F8C9F1" w14:textId="77777777" w:rsidR="00683A80" w:rsidRDefault="00000000">
            <w:pPr>
              <w:pStyle w:val="Compact"/>
              <w:jc w:val="center"/>
            </w:pPr>
            <w:r>
              <w:t>ㅔ</w:t>
            </w:r>
          </w:p>
        </w:tc>
        <w:tc>
          <w:tcPr>
            <w:tcW w:w="0" w:type="auto"/>
          </w:tcPr>
          <w:p w14:paraId="1E68254E" w14:textId="77777777" w:rsidR="00683A80" w:rsidRDefault="00000000">
            <w:pPr>
              <w:pStyle w:val="Compact"/>
              <w:jc w:val="center"/>
            </w:pPr>
            <w:r>
              <w:t>1-3-4-5</w:t>
            </w:r>
          </w:p>
        </w:tc>
        <w:tc>
          <w:tcPr>
            <w:tcW w:w="0" w:type="auto"/>
          </w:tcPr>
          <w:p w14:paraId="1C6BD377" w14:textId="77777777" w:rsidR="00683A80" w:rsidRDefault="00000000">
            <w:pPr>
              <w:pStyle w:val="Compact"/>
              <w:jc w:val="center"/>
            </w:pPr>
            <w:r>
              <w:t>ㅡ</w:t>
            </w:r>
          </w:p>
        </w:tc>
        <w:tc>
          <w:tcPr>
            <w:tcW w:w="0" w:type="auto"/>
          </w:tcPr>
          <w:p w14:paraId="6F9C438F" w14:textId="77777777" w:rsidR="00683A80" w:rsidRDefault="00000000">
            <w:pPr>
              <w:pStyle w:val="Compact"/>
              <w:jc w:val="center"/>
            </w:pPr>
            <w:r>
              <w:t>2-4-6</w:t>
            </w:r>
          </w:p>
        </w:tc>
      </w:tr>
      <w:tr w:rsidR="00683A80" w14:paraId="6CFB8138" w14:textId="77777777">
        <w:tc>
          <w:tcPr>
            <w:tcW w:w="0" w:type="auto"/>
          </w:tcPr>
          <w:p w14:paraId="0E9D4017" w14:textId="77777777" w:rsidR="00683A80" w:rsidRDefault="00000000">
            <w:pPr>
              <w:pStyle w:val="Compact"/>
              <w:jc w:val="center"/>
            </w:pPr>
            <w:r>
              <w:t>ㅕ</w:t>
            </w:r>
          </w:p>
        </w:tc>
        <w:tc>
          <w:tcPr>
            <w:tcW w:w="0" w:type="auto"/>
          </w:tcPr>
          <w:p w14:paraId="41B077BD" w14:textId="77777777" w:rsidR="00683A80" w:rsidRDefault="00000000">
            <w:pPr>
              <w:pStyle w:val="Compact"/>
              <w:jc w:val="center"/>
            </w:pPr>
            <w:r>
              <w:t>1-5-6</w:t>
            </w:r>
          </w:p>
        </w:tc>
        <w:tc>
          <w:tcPr>
            <w:tcW w:w="0" w:type="auto"/>
          </w:tcPr>
          <w:p w14:paraId="29EE6F25" w14:textId="77777777" w:rsidR="00683A80" w:rsidRDefault="00000000">
            <w:pPr>
              <w:pStyle w:val="Compact"/>
              <w:jc w:val="center"/>
            </w:pPr>
            <w:r>
              <w:t>ㅢ</w:t>
            </w:r>
          </w:p>
        </w:tc>
        <w:tc>
          <w:tcPr>
            <w:tcW w:w="0" w:type="auto"/>
          </w:tcPr>
          <w:p w14:paraId="3B2A9DFB" w14:textId="77777777" w:rsidR="00683A80" w:rsidRDefault="00000000">
            <w:pPr>
              <w:pStyle w:val="Compact"/>
              <w:jc w:val="center"/>
            </w:pPr>
            <w:r>
              <w:t>2-4-5-6</w:t>
            </w:r>
          </w:p>
        </w:tc>
      </w:tr>
      <w:tr w:rsidR="00683A80" w14:paraId="0B46B18C" w14:textId="77777777">
        <w:tc>
          <w:tcPr>
            <w:tcW w:w="0" w:type="auto"/>
          </w:tcPr>
          <w:p w14:paraId="079935C9" w14:textId="77777777" w:rsidR="00683A80" w:rsidRDefault="00000000">
            <w:pPr>
              <w:pStyle w:val="Compact"/>
              <w:jc w:val="center"/>
            </w:pPr>
            <w:r>
              <w:t>ㅖ</w:t>
            </w:r>
          </w:p>
        </w:tc>
        <w:tc>
          <w:tcPr>
            <w:tcW w:w="0" w:type="auto"/>
          </w:tcPr>
          <w:p w14:paraId="1BB11DFD" w14:textId="77777777" w:rsidR="00683A80" w:rsidRDefault="00000000">
            <w:pPr>
              <w:pStyle w:val="Compact"/>
              <w:jc w:val="center"/>
            </w:pPr>
            <w:r>
              <w:t>3-4</w:t>
            </w:r>
          </w:p>
        </w:tc>
        <w:tc>
          <w:tcPr>
            <w:tcW w:w="0" w:type="auto"/>
          </w:tcPr>
          <w:p w14:paraId="74D82EB3" w14:textId="77777777" w:rsidR="00683A80" w:rsidRDefault="00000000">
            <w:pPr>
              <w:pStyle w:val="Compact"/>
              <w:jc w:val="center"/>
            </w:pPr>
            <w:r>
              <w:t>ㅣ</w:t>
            </w:r>
          </w:p>
        </w:tc>
        <w:tc>
          <w:tcPr>
            <w:tcW w:w="0" w:type="auto"/>
          </w:tcPr>
          <w:p w14:paraId="24848749" w14:textId="77777777" w:rsidR="00683A80" w:rsidRDefault="00000000">
            <w:pPr>
              <w:pStyle w:val="Compact"/>
              <w:jc w:val="center"/>
            </w:pPr>
            <w:r>
              <w:t>1-3-5</w:t>
            </w:r>
          </w:p>
        </w:tc>
      </w:tr>
    </w:tbl>
    <w:p>
      <w:pPr>
        <w:pStyle w:val="TableCaption"/>
      </w:pPr>
      <w:r>
        <w:t xml:space="preserve">표 3. 종성 점형 대응표</w:t>
      </w:r>
    </w:p>
    <w:tbl xmlns:w14="http://schemas.microsoft.com/office/word/2010/wordml">
      <w:tblPr>
        <w:tblStyle w:val="Table"/>
        <w:tblW w:w="0" w:type="auto"/>
        <w:tblLook w:val="0020" w:firstRow="1" w:lastRow="0" w:firstColumn="0" w:lastColumn="0" w:noHBand="0" w:noVBand="0"/>
      </w:tblPr>
      <w:tblGrid>
        <w:gridCol w:w="1366"/>
        <w:gridCol w:w="708"/>
        <w:gridCol w:w="1366"/>
        <w:gridCol w:w="974"/>
      </w:tblGrid>
      <w:tr w:rsidR="00683A80" w14:paraId="2B25D467"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10214660" w14:textId="77777777" w:rsidR="00683A80" w:rsidRDefault="00000000">
            <w:pPr>
              <w:pStyle w:val="Compact"/>
              <w:jc w:val="center"/>
            </w:pPr>
            <w:r>
              <w:t xml:space="preserve">자음</w:t>
            </w:r>
          </w:p>
        </w:tc>
        <w:tc>
          <w:tcPr>
            <w:tcW w:w="0" w:type="auto"/>
          </w:tcPr>
          <w:p w14:paraId="67958579" w14:textId="77777777" w:rsidR="00683A80" w:rsidRDefault="00000000">
            <w:pPr>
              <w:pStyle w:val="Compact"/>
              <w:jc w:val="center"/>
            </w:pPr>
            <w:r>
              <w:t xml:space="preserve">점형</w:t>
            </w:r>
          </w:p>
        </w:tc>
        <w:tc>
          <w:tcPr>
            <w:tcW w:w="0" w:type="auto"/>
          </w:tcPr>
          <w:p w14:paraId="6E2E606D" w14:textId="77777777" w:rsidR="00683A80" w:rsidRDefault="00000000">
            <w:pPr>
              <w:pStyle w:val="Compact"/>
              <w:jc w:val="center"/>
            </w:pPr>
            <w:r>
              <w:t xml:space="preserve">자음</w:t>
            </w:r>
          </w:p>
        </w:tc>
        <w:tc>
          <w:tcPr>
            <w:tcW w:w="0" w:type="auto"/>
          </w:tcPr>
          <w:p w14:paraId="04361DE7" w14:textId="77777777" w:rsidR="00683A80" w:rsidRDefault="00000000">
            <w:pPr>
              <w:pStyle w:val="Compact"/>
              <w:jc w:val="center"/>
            </w:pPr>
            <w:r>
              <w:t xml:space="preserve">점형</w:t>
            </w:r>
          </w:p>
        </w:tc>
      </w:tr>
      <w:tr w:rsidR="00683A80" w14:paraId="117A6812" w14:textId="77777777">
        <w:tc>
          <w:tcPr>
            <w:tcW w:w="0" w:type="auto"/>
          </w:tcPr>
          <w:p w14:paraId="655230B5" w14:textId="77777777" w:rsidR="00683A80" w:rsidRDefault="00000000">
            <w:pPr>
              <w:pStyle w:val="Compact"/>
              <w:jc w:val="center"/>
            </w:pPr>
            <w:r>
              <w:t>ㄱ</w:t>
            </w:r>
          </w:p>
        </w:tc>
        <w:tc>
          <w:tcPr>
            <w:tcW w:w="0" w:type="auto"/>
          </w:tcPr>
          <w:p w14:paraId="1D237FED" w14:textId="77777777" w:rsidR="00683A80" w:rsidRDefault="00000000">
            <w:pPr>
              <w:pStyle w:val="Compact"/>
              <w:jc w:val="center"/>
            </w:pPr>
            <w:r>
              <w:t>1</w:t>
            </w:r>
          </w:p>
        </w:tc>
        <w:tc>
          <w:tcPr>
            <w:tcW w:w="0" w:type="auto"/>
          </w:tcPr>
          <w:p w14:paraId="75EF5759" w14:textId="77777777" w:rsidR="00683A80" w:rsidRDefault="00000000">
            <w:pPr>
              <w:pStyle w:val="Compact"/>
              <w:jc w:val="center"/>
            </w:pPr>
            <w:r>
              <w:t>ㅇ</w:t>
            </w:r>
          </w:p>
        </w:tc>
        <w:tc>
          <w:tcPr>
            <w:tcW w:w="0" w:type="auto"/>
          </w:tcPr>
          <w:p w14:paraId="79F6F0A2" w14:textId="77777777" w:rsidR="00683A80" w:rsidRDefault="00000000">
            <w:pPr>
              <w:pStyle w:val="Compact"/>
              <w:jc w:val="center"/>
            </w:pPr>
            <w:r>
              <w:t>2-3-5-6</w:t>
            </w:r>
          </w:p>
        </w:tc>
      </w:tr>
      <w:tr w:rsidR="00683A80" w14:paraId="6B6DE6FD" w14:textId="77777777">
        <w:tc>
          <w:tcPr>
            <w:tcW w:w="0" w:type="auto"/>
          </w:tcPr>
          <w:p w14:paraId="1FF73FB3" w14:textId="77777777" w:rsidR="00683A80" w:rsidRDefault="00000000">
            <w:pPr>
              <w:pStyle w:val="Compact"/>
              <w:jc w:val="center"/>
            </w:pPr>
            <w:r>
              <w:t>ㄴ</w:t>
            </w:r>
          </w:p>
        </w:tc>
        <w:tc>
          <w:tcPr>
            <w:tcW w:w="0" w:type="auto"/>
          </w:tcPr>
          <w:p w14:paraId="6B53829A" w14:textId="77777777" w:rsidR="00683A80" w:rsidRDefault="00000000">
            <w:pPr>
              <w:pStyle w:val="Compact"/>
              <w:jc w:val="center"/>
            </w:pPr>
            <w:r>
              <w:t>2-5</w:t>
            </w:r>
          </w:p>
        </w:tc>
        <w:tc>
          <w:tcPr>
            <w:tcW w:w="0" w:type="auto"/>
          </w:tcPr>
          <w:p w14:paraId="7DC64035" w14:textId="77777777" w:rsidR="00683A80" w:rsidRDefault="00000000">
            <w:pPr>
              <w:pStyle w:val="Compact"/>
              <w:jc w:val="center"/>
            </w:pPr>
            <w:r>
              <w:t>ㅈ</w:t>
            </w:r>
          </w:p>
        </w:tc>
        <w:tc>
          <w:tcPr>
            <w:tcW w:w="0" w:type="auto"/>
          </w:tcPr>
          <w:p w14:paraId="399A319B" w14:textId="77777777" w:rsidR="00683A80" w:rsidRDefault="00000000">
            <w:pPr>
              <w:pStyle w:val="Compact"/>
              <w:jc w:val="center"/>
            </w:pPr>
            <w:r>
              <w:t>1-3</w:t>
            </w:r>
          </w:p>
        </w:tc>
      </w:tr>
      <w:tr w:rsidR="00683A80" w14:paraId="2EB019C7" w14:textId="77777777">
        <w:tc>
          <w:tcPr>
            <w:tcW w:w="0" w:type="auto"/>
          </w:tcPr>
          <w:p w14:paraId="72437663" w14:textId="77777777" w:rsidR="00683A80" w:rsidRDefault="00000000">
            <w:pPr>
              <w:pStyle w:val="Compact"/>
              <w:jc w:val="center"/>
            </w:pPr>
            <w:r>
              <w:t>ㄷ</w:t>
            </w:r>
          </w:p>
        </w:tc>
        <w:tc>
          <w:tcPr>
            <w:tcW w:w="0" w:type="auto"/>
          </w:tcPr>
          <w:p w14:paraId="2121A52F" w14:textId="77777777" w:rsidR="00683A80" w:rsidRDefault="00000000">
            <w:pPr>
              <w:pStyle w:val="Compact"/>
              <w:jc w:val="center"/>
            </w:pPr>
            <w:r>
              <w:t>3-5</w:t>
            </w:r>
          </w:p>
        </w:tc>
        <w:tc>
          <w:tcPr>
            <w:tcW w:w="0" w:type="auto"/>
          </w:tcPr>
          <w:p w14:paraId="22CAC13C" w14:textId="77777777" w:rsidR="00683A80" w:rsidRDefault="00000000">
            <w:pPr>
              <w:pStyle w:val="Compact"/>
              <w:jc w:val="center"/>
            </w:pPr>
            <w:r>
              <w:t>ㅊ</w:t>
            </w:r>
          </w:p>
        </w:tc>
        <w:tc>
          <w:tcPr>
            <w:tcW w:w="0" w:type="auto"/>
          </w:tcPr>
          <w:p w14:paraId="5763E75F" w14:textId="77777777" w:rsidR="00683A80" w:rsidRDefault="00000000">
            <w:pPr>
              <w:pStyle w:val="Compact"/>
              <w:jc w:val="center"/>
            </w:pPr>
            <w:r>
              <w:t>2-3</w:t>
            </w:r>
          </w:p>
        </w:tc>
      </w:tr>
      <w:tr w:rsidR="00683A80" w14:paraId="4EB080D3" w14:textId="77777777">
        <w:tc>
          <w:tcPr>
            <w:tcW w:w="0" w:type="auto"/>
          </w:tcPr>
          <w:p w14:paraId="34D9C135" w14:textId="77777777" w:rsidR="00683A80" w:rsidRDefault="00000000">
            <w:pPr>
              <w:pStyle w:val="Compact"/>
              <w:jc w:val="center"/>
            </w:pPr>
            <w:r>
              <w:t>ㄹ</w:t>
            </w:r>
          </w:p>
        </w:tc>
        <w:tc>
          <w:tcPr>
            <w:tcW w:w="0" w:type="auto"/>
          </w:tcPr>
          <w:p w14:paraId="20D5E6E5" w14:textId="77777777" w:rsidR="00683A80" w:rsidRDefault="00000000">
            <w:pPr>
              <w:pStyle w:val="Compact"/>
              <w:jc w:val="center"/>
            </w:pPr>
            <w:r>
              <w:t>2</w:t>
            </w:r>
          </w:p>
        </w:tc>
        <w:tc>
          <w:tcPr>
            <w:tcW w:w="0" w:type="auto"/>
          </w:tcPr>
          <w:p w14:paraId="4907B476" w14:textId="77777777" w:rsidR="00683A80" w:rsidRDefault="00000000">
            <w:pPr>
              <w:pStyle w:val="Compact"/>
              <w:jc w:val="center"/>
            </w:pPr>
            <w:r>
              <w:t>ㅋ</w:t>
            </w:r>
          </w:p>
        </w:tc>
        <w:tc>
          <w:tcPr>
            <w:tcW w:w="0" w:type="auto"/>
          </w:tcPr>
          <w:p w14:paraId="47A2E178" w14:textId="77777777" w:rsidR="00683A80" w:rsidRDefault="00000000">
            <w:pPr>
              <w:pStyle w:val="Compact"/>
              <w:jc w:val="center"/>
            </w:pPr>
            <w:r>
              <w:t>2-3-5</w:t>
            </w:r>
          </w:p>
        </w:tc>
      </w:tr>
      <w:tr w:rsidR="00683A80" w14:paraId="22EF9EC1" w14:textId="77777777">
        <w:tc>
          <w:tcPr>
            <w:tcW w:w="0" w:type="auto"/>
          </w:tcPr>
          <w:p w14:paraId="644AFC63" w14:textId="77777777" w:rsidR="00683A80" w:rsidRDefault="00000000">
            <w:pPr>
              <w:pStyle w:val="Compact"/>
              <w:jc w:val="center"/>
            </w:pPr>
            <w:r>
              <w:t>ㅁ</w:t>
            </w:r>
          </w:p>
        </w:tc>
        <w:tc>
          <w:tcPr>
            <w:tcW w:w="0" w:type="auto"/>
          </w:tcPr>
          <w:p w14:paraId="2BC144B9" w14:textId="77777777" w:rsidR="00683A80" w:rsidRDefault="00000000">
            <w:pPr>
              <w:pStyle w:val="Compact"/>
              <w:jc w:val="center"/>
            </w:pPr>
            <w:r>
              <w:t>2-6</w:t>
            </w:r>
          </w:p>
        </w:tc>
        <w:tc>
          <w:tcPr>
            <w:tcW w:w="0" w:type="auto"/>
          </w:tcPr>
          <w:p w14:paraId="3076301F" w14:textId="77777777" w:rsidR="00683A80" w:rsidRDefault="00000000">
            <w:pPr>
              <w:pStyle w:val="Compact"/>
              <w:jc w:val="center"/>
            </w:pPr>
            <w:r>
              <w:t>ㅌ</w:t>
            </w:r>
          </w:p>
        </w:tc>
        <w:tc>
          <w:tcPr>
            <w:tcW w:w="0" w:type="auto"/>
          </w:tcPr>
          <w:p w14:paraId="4120D09B" w14:textId="77777777" w:rsidR="00683A80" w:rsidRDefault="00000000">
            <w:pPr>
              <w:pStyle w:val="Compact"/>
              <w:jc w:val="center"/>
            </w:pPr>
            <w:r>
              <w:t>2-3-6</w:t>
            </w:r>
          </w:p>
        </w:tc>
      </w:tr>
      <w:tr w:rsidR="00683A80" w14:paraId="0CD402ED" w14:textId="77777777">
        <w:tc>
          <w:tcPr>
            <w:tcW w:w="0" w:type="auto"/>
          </w:tcPr>
          <w:p w14:paraId="5DAA20C9" w14:textId="77777777" w:rsidR="00683A80" w:rsidRDefault="00000000">
            <w:pPr>
              <w:pStyle w:val="Compact"/>
              <w:jc w:val="center"/>
            </w:pPr>
            <w:r>
              <w:t>ㅂ</w:t>
            </w:r>
          </w:p>
        </w:tc>
        <w:tc>
          <w:tcPr>
            <w:tcW w:w="0" w:type="auto"/>
          </w:tcPr>
          <w:p w14:paraId="62B8B495" w14:textId="77777777" w:rsidR="00683A80" w:rsidRDefault="00000000">
            <w:pPr>
              <w:pStyle w:val="Compact"/>
              <w:jc w:val="center"/>
            </w:pPr>
            <w:r>
              <w:t>1-2</w:t>
            </w:r>
          </w:p>
        </w:tc>
        <w:tc>
          <w:tcPr>
            <w:tcW w:w="0" w:type="auto"/>
          </w:tcPr>
          <w:p w14:paraId="62F491BE" w14:textId="77777777" w:rsidR="00683A80" w:rsidRDefault="00000000">
            <w:pPr>
              <w:pStyle w:val="Compact"/>
              <w:jc w:val="center"/>
            </w:pPr>
            <w:r>
              <w:t>ㅍ</w:t>
            </w:r>
          </w:p>
        </w:tc>
        <w:tc>
          <w:tcPr>
            <w:tcW w:w="0" w:type="auto"/>
          </w:tcPr>
          <w:p w14:paraId="5B880927" w14:textId="77777777" w:rsidR="00683A80" w:rsidRDefault="00000000">
            <w:pPr>
              <w:pStyle w:val="Compact"/>
              <w:jc w:val="center"/>
            </w:pPr>
            <w:r>
              <w:t>2-5-6</w:t>
            </w:r>
          </w:p>
        </w:tc>
      </w:tr>
      <w:tr w:rsidR="00683A80" w14:paraId="43DCA7FB" w14:textId="77777777">
        <w:tc>
          <w:tcPr>
            <w:tcW w:w="0" w:type="auto"/>
          </w:tcPr>
          <w:p w14:paraId="3C80E4D6" w14:textId="77777777" w:rsidR="00683A80" w:rsidRDefault="00000000">
            <w:pPr>
              <w:pStyle w:val="Compact"/>
              <w:jc w:val="center"/>
            </w:pPr>
            <w:r>
              <w:t>ㅅ</w:t>
            </w:r>
          </w:p>
        </w:tc>
        <w:tc>
          <w:tcPr>
            <w:tcW w:w="0" w:type="auto"/>
          </w:tcPr>
          <w:p w14:paraId="37D7BC0F" w14:textId="77777777" w:rsidR="00683A80" w:rsidRDefault="00000000">
            <w:pPr>
              <w:pStyle w:val="Compact"/>
              <w:jc w:val="center"/>
            </w:pPr>
            <w:r>
              <w:t>3</w:t>
            </w:r>
          </w:p>
        </w:tc>
        <w:tc>
          <w:tcPr>
            <w:tcW w:w="0" w:type="auto"/>
          </w:tcPr>
          <w:p w14:paraId="6A566EE0" w14:textId="77777777" w:rsidR="00683A80" w:rsidRDefault="00000000">
            <w:pPr>
              <w:pStyle w:val="Compact"/>
              <w:jc w:val="center"/>
            </w:pPr>
            <w:r>
              <w:t>ㅎ</w:t>
            </w:r>
          </w:p>
        </w:tc>
        <w:tc>
          <w:tcPr>
            <w:tcW w:w="0" w:type="auto"/>
          </w:tcPr>
          <w:p w14:paraId="10E88901" w14:textId="77777777" w:rsidR="00683A80" w:rsidRDefault="00000000">
            <w:pPr>
              <w:pStyle w:val="Compact"/>
              <w:jc w:val="center"/>
            </w:pPr>
            <w:r>
              <w:t>3-5-6</w:t>
            </w:r>
          </w:p>
        </w:tc>
      </w:tr>
    </w:tbl>
    <w:bookmarkEnd w:id="23"/>
    <w:bookmarkEnd w:id="24"/>
    <w:bookmarkStart w:id="35" w:name="dataset-description"/>
    <w:p>
      <w:pPr>
        <w:pStyle w:val="Heading1"/>
      </w:pPr>
      <w:r>
        <w:t xml:space="preserve">4. 데이터셋 설명</w:t>
      </w:r>
    </w:p>
    <w:bookmarkStart w:id="25" w:name="source-data"/>
    <w:p>
      <w:pPr>
        <w:pStyle w:val="Heading2"/>
      </w:pPr>
      <w:r>
        <w:t xml:space="preserve">4.1 원본 데이터</w:t>
      </w:r>
    </w:p>
    <w:p>
      <w:pPr>
        <w:pStyle w:val="FirstParagraph"/>
      </w:pPr>
      <w:r>
        <w:t xml:space="preserve">KOSHA-Braille 데이터셋은 공공데이터포털 API를 통해 접근한 안전보건공단(KOSHA) 물질안전보건자료 데이터베이스에서 파생되었다</w:t>
      </w:r>
      <w:r>
        <w:t xml:space="preserve"> </w:t>
      </w:r>
      <w:r>
        <w:t xml:space="preserve">[13]</w:t>
      </w:r>
      <w:r>
        <w:t xml:space="preserve">.</w:t>
      </w:r>
    </w:p>
    <w:bookmarkEnd w:id="25"/>
    <w:bookmarkStart w:id="32" w:name="dataset-statistics"/>
    <w:p>
      <w:pPr>
        <w:pStyle w:val="Heading2"/>
      </w:pPr>
      <w:r>
        <w:t xml:space="preserve">4.2 데이터셋 통계</w:t>
      </w:r>
    </w:p>
    <w:p>
      <w:pPr>
        <w:pStyle w:val="FirstParagraph"/>
      </w:pPr>
      <w:r>
        <w:t xml:space="preserve">아래 표와 그림은 영어 제출본의 dataset statistics 표기와 맞추기 위해 metric label을 영어로 유지한다. 값은 공개 JSONL 산출물에서 직접 재계산한 것이다.</w:t>
      </w:r>
    </w:p>
    <w:p>
      <w:pPr>
        <w:pStyle w:val="TableCaption"/>
      </w:pPr>
      <w:r>
        <w:t xml:space="preserve">표 4. KOSHA-Braille 데이터셋 통계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Total chemicals</w:t>
            </w:r>
          </w:p>
        </w:tc>
        <w:tc>
          <w:tcPr/>
          <w:p>
            <w:pPr>
              <w:pStyle w:val="Compact"/>
              <w:jc w:val="right"/>
            </w:pPr>
            <w:r>
              <w:t xml:space="preserve">48,966</w:t>
            </w:r>
          </w:p>
        </w:tc>
      </w:tr>
      <w:tr>
        <w:tc>
          <w:tcPr/>
          <w:p>
            <w:pPr>
              <w:pStyle w:val="Compact"/>
            </w:pPr>
            <w:r>
              <w:t xml:space="preserve">Source-DB section rows</w:t>
            </w:r>
          </w:p>
        </w:tc>
        <w:tc>
          <w:tcPr/>
          <w:p>
            <w:pPr>
              <w:pStyle w:val="Compact"/>
              <w:jc w:val="right"/>
            </w:pPr>
            <w:r>
              <w:t xml:space="preserve">769,897</w:t>
            </w:r>
          </w:p>
        </w:tc>
      </w:tr>
      <w:tr>
        <w:tc>
          <w:tcPr/>
          <w:p>
            <w:pPr>
              <w:pStyle w:val="Compact"/>
            </w:pPr>
            <w:r>
              <w:t xml:space="preserve">Released non-empty sections</w:t>
            </w:r>
          </w:p>
        </w:tc>
        <w:tc>
          <w:tcPr/>
          <w:p>
            <w:pPr>
              <w:pStyle w:val="Compact"/>
              <w:jc w:val="right"/>
            </w:pPr>
            <w:r>
              <w:t xml:space="preserve">401,272</w:t>
            </w:r>
          </w:p>
        </w:tc>
      </w:tr>
      <w:tr>
        <w:tc>
          <w:tcPr/>
          <w:p>
            <w:pPr>
              <w:pStyle w:val="Compact"/>
            </w:pPr>
            <w:r>
              <w:t xml:space="preserve">Avg. non-empty sections per chemical</w:t>
            </w:r>
          </w:p>
        </w:tc>
        <w:tc>
          <w:tcPr/>
          <w:p>
            <w:pPr>
              <w:pStyle w:val="Compact"/>
              <w:jc w:val="right"/>
            </w:pPr>
            <w:r>
              <w:t xml:space="preserve">8.2 (full schema: 16)</w:t>
            </w:r>
          </w:p>
        </w:tc>
      </w:tr>
      <w:tr>
        <w:tc>
          <w:tcPr/>
          <w:p>
            <w:pPr>
              <w:pStyle w:val="Compact"/>
            </w:pPr>
            <w:r>
              <w:t xml:space="preserve">Korean text (total)</w:t>
            </w:r>
          </w:p>
        </w:tc>
        <w:tc>
          <w:tcPr/>
          <w:p>
            <w:pPr>
              <w:pStyle w:val="Compact"/>
              <w:jc w:val="right"/>
            </w:pPr>
            <w:r>
              <w:t xml:space="preserve">119.3 M chars</w:t>
            </w:r>
          </w:p>
        </w:tc>
      </w:tr>
      <w:tr>
        <w:tc>
          <w:tcPr/>
          <w:p>
            <w:pPr>
              <w:pStyle w:val="Compact"/>
            </w:pPr>
            <w:r>
              <w:t xml:space="preserve">Korean braille (total)</w:t>
            </w:r>
          </w:p>
        </w:tc>
        <w:tc>
          <w:tcPr/>
          <w:p>
            <w:pPr>
              <w:pStyle w:val="Compact"/>
              <w:jc w:val="right"/>
            </w:pPr>
            <w:r>
              <w:t xml:space="preserve">232.3 M cells</w:t>
            </w:r>
          </w:p>
        </w:tc>
      </w:tr>
      <w:tr>
        <w:tc>
          <w:tcPr/>
          <w:p>
            <w:pPr>
              <w:pStyle w:val="Compact"/>
            </w:pPr>
            <w:r>
              <w:t xml:space="preserve">Mean braille:text ratio</w:t>
            </w:r>
          </w:p>
        </w:tc>
        <w:tc>
          <w:tcPr/>
          <w:p>
            <w:pPr>
              <w:pStyle w:val="Compact"/>
              <w:jc w:val="right"/>
            </w:pPr>
            <w:r>
              <w:t xml:space="preserve">1.95</w:t>
            </w:r>
          </w:p>
        </w:tc>
      </w:tr>
      <w:tr>
        <w:tc>
          <w:tcPr/>
          <w:p>
            <w:pPr>
              <w:pStyle w:val="Compact"/>
            </w:pPr>
            <w:r>
              <w:t xml:space="preserve">Per-chemical Korean text length, mean</w:t>
            </w:r>
          </w:p>
        </w:tc>
        <w:tc>
          <w:tcPr/>
          <w:p>
            <w:pPr>
              <w:pStyle w:val="Compact"/>
              <w:jc w:val="right"/>
            </w:pPr>
            <w:r>
              <w:t xml:space="preserve">2,436 chars</w:t>
            </w:r>
          </w:p>
        </w:tc>
      </w:tr>
      <w:tr>
        <w:tc>
          <w:tcPr/>
          <w:p>
            <w:pPr>
              <w:pStyle w:val="Compact"/>
            </w:pPr>
            <w:r>
              <w:t xml:space="preserve">Per-chemical Korean text length, median</w:t>
            </w:r>
          </w:p>
        </w:tc>
        <w:tc>
          <w:tcPr/>
          <w:p>
            <w:pPr>
              <w:pStyle w:val="Compact"/>
              <w:jc w:val="right"/>
            </w:pPr>
            <w:r>
              <w:t xml:space="preserve">772 chars</w:t>
            </w:r>
          </w:p>
        </w:tc>
      </w:tr>
      <w:tr>
        <w:tc>
          <w:tcPr/>
          <w:p>
            <w:pPr>
              <w:pStyle w:val="Compact"/>
            </w:pPr>
            <w:r>
              <w:t xml:space="preserve">Per-chemical Korean text length, min / max</w:t>
            </w:r>
          </w:p>
        </w:tc>
        <w:tc>
          <w:tcPr/>
          <w:p>
            <w:pPr>
              <w:pStyle w:val="Compact"/>
              <w:jc w:val="right"/>
            </w:pPr>
            <w:r>
              <w:t xml:space="preserve">0 / 15,641 chars</w:t>
            </w:r>
          </w:p>
        </w:tc>
      </w:tr>
      <w:tr>
        <w:tc>
          <w:tcPr/>
          <w:p>
            <w:pPr>
              <w:pStyle w:val="Compact"/>
            </w:pPr>
            <w:r>
              <w:t xml:space="preserve">Character type: Korean (Hangul)</w:t>
            </w:r>
          </w:p>
        </w:tc>
        <w:tc>
          <w:tcPr/>
          <w:p>
            <w:pPr>
              <w:pStyle w:val="Compact"/>
              <w:jc w:val="right"/>
            </w:pPr>
            <w:r>
              <w:t xml:space="preserve">77.2%</w:t>
            </w:r>
          </w:p>
        </w:tc>
      </w:tr>
      <w:tr>
        <w:tc>
          <w:tcPr/>
          <w:p>
            <w:pPr>
              <w:pStyle w:val="Compact"/>
            </w:pPr>
            <w:r>
              <w:t xml:space="preserve">Character type: Latin</w:t>
            </w:r>
          </w:p>
        </w:tc>
        <w:tc>
          <w:tcPr/>
          <w:p>
            <w:pPr>
              <w:pStyle w:val="Compact"/>
              <w:jc w:val="right"/>
            </w:pPr>
            <w:r>
              <w:t xml:space="preserve">18.3%</w:t>
            </w:r>
          </w:p>
        </w:tc>
      </w:tr>
      <w:tr>
        <w:tc>
          <w:tcPr/>
          <w:p>
            <w:pPr>
              <w:pStyle w:val="Compact"/>
            </w:pPr>
            <w:r>
              <w:t xml:space="preserve">Character type: Digits</w:t>
            </w:r>
          </w:p>
        </w:tc>
        <w:tc>
          <w:tcPr/>
          <w:p>
            <w:pPr>
              <w:pStyle w:val="Compact"/>
              <w:jc w:val="right"/>
            </w:pPr>
            <w:r>
              <w:t xml:space="preserve">4.5%</w:t>
            </w:r>
          </w:p>
        </w:tc>
      </w:tr>
    </w:tbl>
    <w:p>
      <w:pPr>
        <w:pStyle w:val="CaptionedFigure"/>
      </w:pPr>
      <w:r>
        <w:drawing>
          <wp:inline>
            <wp:extent cx="5486400" cy="2743200"/>
            <wp:effectExtent b="0" l="0" r="0" t="0"/>
            <wp:docPr descr="Dataset characteristics, recomputed from the released JSONL. Left: character-type distribution. Right: per-chemical total Korean text length distribution." title="" id="27" name="Picture"/>
            <a:graphic>
              <a:graphicData uri="http://schemas.openxmlformats.org/drawingml/2006/picture">
                <pic:pic>
                  <pic:nvPicPr>
                    <pic:cNvPr descr="fig_dataset_stats.png" id="28" name="Picture"/>
                    <pic:cNvPicPr>
                      <a:picLocks noChangeArrowheads="1" noChangeAspect="1"/>
                    </pic:cNvPicPr>
                  </pic:nvPicPr>
                  <pic:blipFill>
                    <a:blip r:embed="rId26"/>
                    <a:stretch>
                      <a:fillRect/>
                    </a:stretch>
                  </pic:blipFill>
                  <pic:spPr bwMode="auto">
                    <a:xfrm>
                      <a:off x="0" y="0"/>
                      <a:ext cx="5486400" cy="2743200"/>
                    </a:xfrm>
                    <a:prstGeom prst="rect">
                      <a:avLst/>
                    </a:prstGeom>
                    <a:noFill/>
                    <a:ln w="9525">
                      <a:noFill/>
                      <a:headEnd/>
                      <a:tailEnd/>
                    </a:ln>
                  </pic:spPr>
                </pic:pic>
              </a:graphicData>
            </a:graphic>
          </wp:inline>
        </w:drawing>
      </w:r>
    </w:p>
    <w:p>
      <w:pPr>
        <w:pStyle w:val="ImageCaption"/>
        <w:rPr>
          <w:i w:val="0"/>
          <w:iCs/>
        </w:rPr>
      </w:pPr>
      <w:r>
        <w:rPr>
          <w:i w:val="0"/>
          <w:iCs/>
        </w:rPr>
        <w:t xml:space="preserve">그림 3. 데이터셋 통계</w:t>
      </w:r>
    </w:p>
    <w:p>
      <w:pPr>
        <w:pStyle w:val="ImageCaption"/>
      </w:pPr>
      <w:r>
        <w:t xml:space="preserve">공개 JSONL 산출물에서 재계산한 데이터셋 특성(n = 48,966종). (왼쪽) 문자 종류 분포. (오른쪽) 화학물질별 한국어 본문 길이 분포. 이중 봉우리 형태는 16개 섹션이 모두 채워진 물질과 KOSHA 원본에 실질 내용이 일부 섹션에만 있는 물질이 섞여 있음을 반영한다.</w:t>
      </w:r>
    </w:p>
    <w:p>
      <w:pPr>
        <w:pStyle w:val="CaptionedFigure"/>
      </w:pPr>
      <w:r>
        <w:drawing>
          <wp:inline>
            <wp:extent cx="5486400" cy="2926080"/>
            <wp:effectExtent b="0" l="0" r="0" t="0"/>
            <wp:docPr descr="Per-section coverage and average Korean text length over the 16 MSDS sections defined by KOSHA." title="" id="30" name="Picture"/>
            <a:graphic>
              <a:graphicData uri="http://schemas.openxmlformats.org/drawingml/2006/picture">
                <pic:pic>
                  <pic:nvPicPr>
                    <pic:cNvPr descr="fig_section_coverage.png" id="31" name="Picture"/>
                    <pic:cNvPicPr>
                      <a:picLocks noChangeArrowheads="1" noChangeAspect="1"/>
                    </pic:cNvPicPr>
                  </pic:nvPicPr>
                  <pic:blipFill>
                    <a:blip r:embed="rId29"/>
                    <a:stretch>
                      <a:fillRect/>
                    </a:stretch>
                  </pic:blipFill>
                  <pic:spPr bwMode="auto">
                    <a:xfrm>
                      <a:off x="0" y="0"/>
                      <a:ext cx="5486400" cy="2926080"/>
                    </a:xfrm>
                    <a:prstGeom prst="rect">
                      <a:avLst/>
                    </a:prstGeom>
                    <a:noFill/>
                    <a:ln w="9525">
                      <a:noFill/>
                      <a:headEnd/>
                      <a:tailEnd/>
                    </a:ln>
                  </pic:spPr>
                </pic:pic>
              </a:graphicData>
            </a:graphic>
          </wp:inline>
        </w:drawing>
      </w:r>
    </w:p>
    <w:p>
      <w:pPr>
        <w:pStyle w:val="ImageCaption"/>
        <w:rPr>
          <w:i w:val="0"/>
          <w:iCs/>
        </w:rPr>
      </w:pPr>
      <w:r>
        <w:rPr>
          <w:i w:val="0"/>
          <w:iCs/>
        </w:rPr>
        <w:t xml:space="preserve">그림 4. 섹션별 커버리지</w:t>
      </w:r>
    </w:p>
    <w:p>
      <w:pPr>
        <w:pStyle w:val="ImageCaption"/>
      </w:pPr>
      <w:r>
        <w:t xml:space="preserve">KOSHA가 정의한 16개 MSDS 섹션에 대한 공개 데이터셋의 섹션별 커버리지. (a) 섹션별로 한국어 본문이 비어 있지 않은 화학물질 수. 1(화학제품·회사 정보), 3(구성성분), 8(노출방지), 14(운송) 섹션은 사실상 모든 물질에서 채워져 있으며, 규제 및 물리화학 상세 섹션은 KOSHA 원본에 실질 내용이 있는 경우에만 채워진다. (b) 섹션이 비어 있지 않을 때의 평균 한국어 본문 길이.</w:t>
      </w:r>
    </w:p>
    <w:bookmarkEnd w:id="32"/>
    <w:bookmarkStart w:id="33" w:name="ghs-pictogram-conversion"/>
    <w:p>
      <w:pPr>
        <w:pStyle w:val="Heading2"/>
      </w:pPr>
      <w:r>
        <w:t xml:space="preserve">4.3 GHS 픽토그램 변환</w:t>
      </w:r>
    </w:p>
    <w:p>
      <w:pPr>
        <w:pStyle w:val="FirstParagraph"/>
      </w:pPr>
      <w:r>
        <w:t xml:space="preserve">원본 MSDS 데이터는 GHS 유해성 픽토그램을 이미지 파일명으로 참조한다. 파일명은 점자에서 의미가 없으므로 시스템은 이를 한국어 설명으로 변환한다. 예를 들어</w:t>
      </w:r>
      <w:r>
        <w:t xml:space="preserve"> </w:t>
      </w:r>
      <w:r>
        <w:rPr>
          <w:rStyle w:val="VerbatimChar"/>
        </w:rPr>
        <w:t xml:space="preserve">GHS01</w:t>
      </w:r>
      <w:r>
        <w:t xml:space="preserve">은</w:t>
      </w:r>
      <w:r>
        <w:t xml:space="preserve"> </w:t>
      </w:r>
      <w:r>
        <w:rPr>
          <w:rStyle w:val="VerbatimChar"/>
        </w:rPr>
        <w:t xml:space="preserve">폭발성</w:t>
      </w:r>
      <w:r>
        <w:t xml:space="preserve">,</w:t>
      </w:r>
      <w:r>
        <w:t xml:space="preserve"> </w:t>
      </w:r>
      <w:r>
        <w:rPr>
          <w:rStyle w:val="VerbatimChar"/>
        </w:rPr>
        <w:t xml:space="preserve">GHS02</w:t>
      </w:r>
      <w:r>
        <w:t xml:space="preserve">는</w:t>
      </w:r>
      <w:r>
        <w:t xml:space="preserve"> </w:t>
      </w:r>
      <w:r>
        <w:rPr>
          <w:rStyle w:val="VerbatimChar"/>
        </w:rPr>
        <w:t xml:space="preserve">인화성</w:t>
      </w:r>
      <w:r>
        <w:t xml:space="preserve">,</w:t>
      </w:r>
      <w:r>
        <w:t xml:space="preserve"> </w:t>
      </w:r>
      <w:r>
        <w:rPr>
          <w:rStyle w:val="VerbatimChar"/>
        </w:rPr>
        <w:t xml:space="preserve">GHS06</w:t>
      </w:r>
      <w:r>
        <w:t xml:space="preserve">은</w:t>
      </w:r>
      <w:r>
        <w:t xml:space="preserve"> </w:t>
      </w:r>
      <w:r>
        <w:rPr>
          <w:rStyle w:val="VerbatimChar"/>
        </w:rPr>
        <w:t xml:space="preserve">급성독성</w:t>
      </w:r>
      <w:r>
        <w:t xml:space="preserve">,</w:t>
      </w:r>
      <w:r>
        <w:t xml:space="preserve"> </w:t>
      </w:r>
      <w:r>
        <w:rPr>
          <w:rStyle w:val="VerbatimChar"/>
        </w:rPr>
        <w:t xml:space="preserve">GHS09</w:t>
      </w:r>
      <w:r>
        <w:t xml:space="preserve">는</w:t>
      </w:r>
      <w:r>
        <w:t xml:space="preserve"> </w:t>
      </w:r>
      <w:r>
        <w:rPr>
          <w:rStyle w:val="VerbatimChar"/>
        </w:rPr>
        <w:t xml:space="preserve">수생환경유해성</w:t>
      </w:r>
      <w:r>
        <w:t xml:space="preserve">으로 변환된다. 데이터베이스에 등장하는 147개 H/P 문구 코드는 모두 해소 및 인코딩된다.</w:t>
      </w:r>
    </w:p>
    <w:p>
      <w:pPr>
        <w:pStyle w:val="TableCaption"/>
      </w:pPr>
      <w:r>
        <w:t xml:space="preserve">표 5. GHS 픽토그램의 한국어 텍스트 변환</w:t>
      </w:r>
    </w:p>
    <w:tbl xmlns:w14="http://schemas.microsoft.com/office/word/2010/wordml">
      <w:tblPr>
        <w:tblStyle w:val="Table"/>
        <w:tblW w:w="0" w:type="auto"/>
        <w:tblLook w:val="0020" w:firstRow="1" w:lastRow="0" w:firstColumn="0" w:lastColumn="0" w:noHBand="0" w:noVBand="0"/>
      </w:tblPr>
      <w:tblGrid>
        <w:gridCol w:w="948"/>
        <w:gridCol w:w="1964"/>
        <w:gridCol w:w="1896"/>
      </w:tblGrid>
      <w:tr w:rsidR="00683A80" w14:paraId="54CD1EF3"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7C6E9A4C" w14:textId="77777777" w:rsidR="00683A80" w:rsidRDefault="00000000">
            <w:pPr>
              <w:pStyle w:val="Compact"/>
            </w:pPr>
            <w:r>
              <w:t xml:space="preserve">코드</w:t>
            </w:r>
          </w:p>
        </w:tc>
        <w:tc>
          <w:tcPr>
            <w:tcW w:w="0" w:type="auto"/>
          </w:tcPr>
          <w:p w14:paraId="3A22507E" w14:textId="77777777" w:rsidR="00683A80" w:rsidRDefault="00000000">
            <w:pPr>
              <w:pStyle w:val="Compact"/>
            </w:pPr>
            <w:r>
              <w:t xml:space="preserve">영문</w:t>
            </w:r>
          </w:p>
        </w:tc>
        <w:tc>
          <w:tcPr>
            <w:tcW w:w="0" w:type="auto"/>
          </w:tcPr>
          <w:p w14:paraId="5176C76A" w14:textId="77777777" w:rsidR="00683A80" w:rsidRDefault="00000000">
            <w:pPr>
              <w:pStyle w:val="Compact"/>
            </w:pPr>
            <w:r>
              <w:t xml:space="preserve">한국어</w:t>
            </w:r>
          </w:p>
        </w:tc>
      </w:tr>
      <w:tr w:rsidR="00683A80" w14:paraId="71351E97" w14:textId="77777777">
        <w:tc>
          <w:tcPr>
            <w:tcW w:w="0" w:type="auto"/>
          </w:tcPr>
          <w:p w14:paraId="5C292A44" w14:textId="77777777" w:rsidR="00683A80" w:rsidRDefault="00000000">
            <w:pPr>
              <w:pStyle w:val="Compact"/>
            </w:pPr>
            <w:r>
              <w:t>GHS01</w:t>
            </w:r>
          </w:p>
        </w:tc>
        <w:tc>
          <w:tcPr>
            <w:tcW w:w="0" w:type="auto"/>
          </w:tcPr>
          <w:p w14:paraId="32475250" w14:textId="77777777" w:rsidR="00683A80" w:rsidRDefault="00000000">
            <w:pPr>
              <w:pStyle w:val="Compact"/>
            </w:pPr>
            <w:r>
              <w:t>Explosive</w:t>
            </w:r>
          </w:p>
        </w:tc>
        <w:tc>
          <w:tcPr>
            <w:tcW w:w="0" w:type="auto"/>
          </w:tcPr>
          <w:p w14:paraId="752D9835" w14:textId="77777777" w:rsidR="00683A80" w:rsidRDefault="00000000">
            <w:pPr>
              <w:pStyle w:val="Compact"/>
            </w:pPr>
            <w:r>
              <w:t>폭발성</w:t>
            </w:r>
          </w:p>
        </w:tc>
      </w:tr>
      <w:tr w:rsidR="00683A80" w14:paraId="054E4803" w14:textId="77777777">
        <w:tc>
          <w:tcPr>
            <w:tcW w:w="0" w:type="auto"/>
          </w:tcPr>
          <w:p w14:paraId="1DE37215" w14:textId="77777777" w:rsidR="00683A80" w:rsidRDefault="00000000">
            <w:pPr>
              <w:pStyle w:val="Compact"/>
            </w:pPr>
            <w:r>
              <w:t>GHS02</w:t>
            </w:r>
          </w:p>
        </w:tc>
        <w:tc>
          <w:tcPr>
            <w:tcW w:w="0" w:type="auto"/>
          </w:tcPr>
          <w:p w14:paraId="399C4068" w14:textId="77777777" w:rsidR="00683A80" w:rsidRDefault="00000000">
            <w:pPr>
              <w:pStyle w:val="Compact"/>
            </w:pPr>
            <w:r>
              <w:t>Flammable</w:t>
            </w:r>
          </w:p>
        </w:tc>
        <w:tc>
          <w:tcPr>
            <w:tcW w:w="0" w:type="auto"/>
          </w:tcPr>
          <w:p w14:paraId="3A5FB923" w14:textId="77777777" w:rsidR="00683A80" w:rsidRDefault="00000000">
            <w:pPr>
              <w:pStyle w:val="Compact"/>
            </w:pPr>
            <w:r>
              <w:t>인화성</w:t>
            </w:r>
          </w:p>
        </w:tc>
      </w:tr>
      <w:tr w:rsidR="00683A80" w14:paraId="54B78052" w14:textId="77777777">
        <w:tc>
          <w:tcPr>
            <w:tcW w:w="0" w:type="auto"/>
          </w:tcPr>
          <w:p w14:paraId="272D5BD4" w14:textId="77777777" w:rsidR="00683A80" w:rsidRDefault="00000000">
            <w:pPr>
              <w:pStyle w:val="Compact"/>
            </w:pPr>
            <w:r>
              <w:t>GHS03</w:t>
            </w:r>
          </w:p>
        </w:tc>
        <w:tc>
          <w:tcPr>
            <w:tcW w:w="0" w:type="auto"/>
          </w:tcPr>
          <w:p w14:paraId="1228AB76" w14:textId="77777777" w:rsidR="00683A80" w:rsidRDefault="00000000">
            <w:pPr>
              <w:pStyle w:val="Compact"/>
            </w:pPr>
            <w:r>
              <w:t>Oxidizing</w:t>
            </w:r>
          </w:p>
        </w:tc>
        <w:tc>
          <w:tcPr>
            <w:tcW w:w="0" w:type="auto"/>
          </w:tcPr>
          <w:p w14:paraId="3D46805F" w14:textId="77777777" w:rsidR="00683A80" w:rsidRDefault="00000000">
            <w:pPr>
              <w:pStyle w:val="Compact"/>
            </w:pPr>
            <w:r>
              <w:t>산화성</w:t>
            </w:r>
          </w:p>
        </w:tc>
      </w:tr>
      <w:tr w:rsidR="00683A80" w14:paraId="733CEDB0" w14:textId="77777777">
        <w:tc>
          <w:tcPr>
            <w:tcW w:w="0" w:type="auto"/>
          </w:tcPr>
          <w:p w14:paraId="1EC2B264" w14:textId="77777777" w:rsidR="00683A80" w:rsidRDefault="00000000">
            <w:pPr>
              <w:pStyle w:val="Compact"/>
            </w:pPr>
            <w:r>
              <w:t>GHS04</w:t>
            </w:r>
          </w:p>
        </w:tc>
        <w:tc>
          <w:tcPr>
            <w:tcW w:w="0" w:type="auto"/>
          </w:tcPr>
          <w:p w14:paraId="2E426FAF" w14:textId="77777777" w:rsidR="00683A80" w:rsidRDefault="00000000">
            <w:pPr>
              <w:pStyle w:val="Compact"/>
            </w:pPr>
            <w:r>
              <w:t>Compressed gas</w:t>
            </w:r>
          </w:p>
        </w:tc>
        <w:tc>
          <w:tcPr>
            <w:tcW w:w="0" w:type="auto"/>
          </w:tcPr>
          <w:p w14:paraId="45C35FBF" w14:textId="77777777" w:rsidR="00683A80" w:rsidRDefault="00000000">
            <w:pPr>
              <w:pStyle w:val="Compact"/>
            </w:pPr>
            <w:r>
              <w:t>고압가스</w:t>
            </w:r>
          </w:p>
        </w:tc>
      </w:tr>
      <w:tr w:rsidR="00683A80" w14:paraId="4CF65A77" w14:textId="77777777">
        <w:tc>
          <w:tcPr>
            <w:tcW w:w="0" w:type="auto"/>
          </w:tcPr>
          <w:p w14:paraId="037767D6" w14:textId="77777777" w:rsidR="00683A80" w:rsidRDefault="00000000">
            <w:pPr>
              <w:pStyle w:val="Compact"/>
            </w:pPr>
            <w:r>
              <w:t>GHS05</w:t>
            </w:r>
          </w:p>
        </w:tc>
        <w:tc>
          <w:tcPr>
            <w:tcW w:w="0" w:type="auto"/>
          </w:tcPr>
          <w:p w14:paraId="16D729A1" w14:textId="77777777" w:rsidR="00683A80" w:rsidRDefault="00000000">
            <w:pPr>
              <w:pStyle w:val="Compact"/>
            </w:pPr>
            <w:r>
              <w:t>Corrosive</w:t>
            </w:r>
          </w:p>
        </w:tc>
        <w:tc>
          <w:tcPr>
            <w:tcW w:w="0" w:type="auto"/>
          </w:tcPr>
          <w:p w14:paraId="5764B165" w14:textId="77777777" w:rsidR="00683A80" w:rsidRDefault="00000000">
            <w:pPr>
              <w:pStyle w:val="Compact"/>
            </w:pPr>
            <w:r>
              <w:t>부식성</w:t>
            </w:r>
          </w:p>
        </w:tc>
      </w:tr>
      <w:tr w:rsidR="00683A80" w14:paraId="1BFA3046" w14:textId="77777777">
        <w:tc>
          <w:tcPr>
            <w:tcW w:w="0" w:type="auto"/>
          </w:tcPr>
          <w:p w14:paraId="21F95ADA" w14:textId="77777777" w:rsidR="00683A80" w:rsidRDefault="00000000">
            <w:pPr>
              <w:pStyle w:val="Compact"/>
            </w:pPr>
            <w:r>
              <w:t>GHS06</w:t>
            </w:r>
          </w:p>
        </w:tc>
        <w:tc>
          <w:tcPr>
            <w:tcW w:w="0" w:type="auto"/>
          </w:tcPr>
          <w:p w14:paraId="761F2BF1" w14:textId="77777777" w:rsidR="00683A80" w:rsidRDefault="00000000">
            <w:pPr>
              <w:pStyle w:val="Compact"/>
            </w:pPr>
            <w:r>
              <w:t>Acute toxicity</w:t>
            </w:r>
          </w:p>
        </w:tc>
        <w:tc>
          <w:tcPr>
            <w:tcW w:w="0" w:type="auto"/>
          </w:tcPr>
          <w:p w14:paraId="24E5B915" w14:textId="77777777" w:rsidR="00683A80" w:rsidRDefault="00000000">
            <w:pPr>
              <w:pStyle w:val="Compact"/>
            </w:pPr>
            <w:r>
              <w:t>급성독성</w:t>
            </w:r>
          </w:p>
        </w:tc>
      </w:tr>
      <w:tr w:rsidR="00683A80" w14:paraId="3A865001" w14:textId="77777777">
        <w:tc>
          <w:tcPr>
            <w:tcW w:w="0" w:type="auto"/>
          </w:tcPr>
          <w:p w14:paraId="681AB881" w14:textId="77777777" w:rsidR="00683A80" w:rsidRDefault="00000000">
            <w:pPr>
              <w:pStyle w:val="Compact"/>
            </w:pPr>
            <w:r>
              <w:t>GHS07</w:t>
            </w:r>
          </w:p>
        </w:tc>
        <w:tc>
          <w:tcPr>
            <w:tcW w:w="0" w:type="auto"/>
          </w:tcPr>
          <w:p w14:paraId="64252D37" w14:textId="77777777" w:rsidR="00683A80" w:rsidRDefault="00000000">
            <w:pPr>
              <w:pStyle w:val="Compact"/>
            </w:pPr>
            <w:r>
              <w:t>Irritant</w:t>
            </w:r>
          </w:p>
        </w:tc>
        <w:tc>
          <w:tcPr>
            <w:tcW w:w="0" w:type="auto"/>
          </w:tcPr>
          <w:p w14:paraId="01447698" w14:textId="77777777" w:rsidR="00683A80" w:rsidRDefault="00000000">
            <w:pPr>
              <w:pStyle w:val="Compact"/>
            </w:pPr>
            <w:r>
              <w:t>경고</w:t>
            </w:r>
          </w:p>
        </w:tc>
      </w:tr>
      <w:tr w:rsidR="00683A80" w14:paraId="7C26087C" w14:textId="77777777">
        <w:tc>
          <w:tcPr>
            <w:tcW w:w="0" w:type="auto"/>
          </w:tcPr>
          <w:p w14:paraId="4DB80557" w14:textId="77777777" w:rsidR="00683A80" w:rsidRDefault="00000000">
            <w:pPr>
              <w:pStyle w:val="Compact"/>
            </w:pPr>
            <w:r>
              <w:t>GHS08</w:t>
            </w:r>
          </w:p>
        </w:tc>
        <w:tc>
          <w:tcPr>
            <w:tcW w:w="0" w:type="auto"/>
          </w:tcPr>
          <w:p w14:paraId="27B1AAC8" w14:textId="77777777" w:rsidR="00683A80" w:rsidRDefault="00000000">
            <w:pPr>
              <w:pStyle w:val="Compact"/>
            </w:pPr>
            <w:r>
              <w:t>Health hazard</w:t>
            </w:r>
          </w:p>
        </w:tc>
        <w:tc>
          <w:tcPr>
            <w:tcW w:w="0" w:type="auto"/>
          </w:tcPr>
          <w:p w14:paraId="65F17BC4" w14:textId="77777777" w:rsidR="00683A80" w:rsidRDefault="00000000">
            <w:pPr>
              <w:pStyle w:val="Compact"/>
            </w:pPr>
            <w:r>
              <w:t>건강유해성</w:t>
            </w:r>
          </w:p>
        </w:tc>
      </w:tr>
      <w:tr w:rsidR="00683A80" w14:paraId="6ED5DD57" w14:textId="77777777">
        <w:tc>
          <w:tcPr>
            <w:tcW w:w="0" w:type="auto"/>
          </w:tcPr>
          <w:p w14:paraId="5A2067AB" w14:textId="77777777" w:rsidR="00683A80" w:rsidRDefault="00000000">
            <w:pPr>
              <w:pStyle w:val="Compact"/>
            </w:pPr>
            <w:r>
              <w:t>GHS09</w:t>
            </w:r>
          </w:p>
        </w:tc>
        <w:tc>
          <w:tcPr>
            <w:tcW w:w="0" w:type="auto"/>
          </w:tcPr>
          <w:p w14:paraId="2835F73F" w14:textId="77777777" w:rsidR="00683A80" w:rsidRDefault="00000000">
            <w:pPr>
              <w:pStyle w:val="Compact"/>
            </w:pPr>
            <w:r>
              <w:t>Environmental</w:t>
            </w:r>
          </w:p>
        </w:tc>
        <w:tc>
          <w:tcPr>
            <w:tcW w:w="0" w:type="auto"/>
          </w:tcPr>
          <w:p w14:paraId="395AE37C" w14:textId="77777777" w:rsidR="00683A80" w:rsidRDefault="00000000">
            <w:pPr>
              <w:pStyle w:val="Compact"/>
            </w:pPr>
            <w:r>
              <w:t>수생환경유해성</w:t>
            </w:r>
          </w:p>
        </w:tc>
      </w:tr>
    </w:tbl>
    <w:bookmarkEnd w:id="33"/>
    <w:bookmarkStart w:id="34" w:name="공개"/>
    <w:p>
      <w:pPr>
        <w:pStyle w:val="Heading2"/>
      </w:pPr>
      <w:r>
        <w:t xml:space="preserve">4.4 공개</w:t>
      </w:r>
    </w:p>
    <w:p>
      <w:pPr>
        <w:pStyle w:val="FirstParagraph"/>
      </w:pPr>
      <w:r>
        <w:t xml:space="preserve">전체 코퍼스는 HuggingFace 호환 JSONL 파일로 공개되며, 데이터셋 카드에는 출처, 라이선스, 섹션 스키마, 의도된 사용이 명시되어 있다. 인코더, 디코더, 참조 서비스도 오픈소스 코드로 공개된다.</w:t>
      </w:r>
    </w:p>
    <w:bookmarkEnd w:id="34"/>
    <w:bookmarkEnd w:id="35"/>
    <w:bookmarkStart w:id="39" w:name="검증"/>
    <w:p>
      <w:pPr>
        <w:pStyle w:val="Heading1"/>
      </w:pPr>
      <w:r>
        <w:t xml:space="preserve">5. 검증</w:t>
      </w:r>
    </w:p>
    <w:bookmarkStart w:id="36" w:name="결정론적-정확성"/>
    <w:p>
      <w:pPr>
        <w:pStyle w:val="Heading2"/>
      </w:pPr>
      <w:r>
        <w:t xml:space="preserve">5.1 결정론적 정확성</w:t>
      </w:r>
    </w:p>
    <w:p>
      <w:pPr>
        <w:pStyle w:val="FirstParagraph"/>
      </w:pPr>
      <w:r>
        <w:t xml:space="preserve">2017년 규정 하에서의 한국어 점자 인코딩은 규칙으로 정의되는 결정론적 변환이다. 각 한글 음절은 초성, 중성, 선택적 종성으로 명확히 분해되고 각 구성 요소는 고정 점형에 대응한다. 따라서 정확성 검증은 산출물별 인간 점역사 평가가 아니라 매핑표와 적용 로직 검증의 문제로 환원된다. 이는 인프라 규모 코퍼스에서 특히 중요하다.</w:t>
      </w:r>
    </w:p>
    <w:bookmarkEnd w:id="36"/>
    <w:bookmarkStart w:id="37" w:name="교차-참조-검증"/>
    <w:p>
      <w:pPr>
        <w:pStyle w:val="Heading2"/>
      </w:pPr>
      <w:r>
        <w:t xml:space="preserve">5.2 교차 참조 검증</w:t>
      </w:r>
    </w:p>
    <w:p>
      <w:pPr>
        <w:pStyle w:val="FirstParagraph"/>
      </w:pPr>
      <w:r>
        <w:t xml:space="preserve">인코더는 독립적으로 개발된 오픈소스 한국어 점자 변환기와 비교 검증되었다</w:t>
      </w:r>
      <w:r>
        <w:t xml:space="preserve"> </w:t>
      </w:r>
      <w:r>
        <w:t xml:space="preserve">[8]</w:t>
      </w:r>
      <w:r>
        <w:t xml:space="preserve">.</w:t>
      </w:r>
    </w:p>
    <w:p>
      <w:pPr>
        <w:pStyle w:val="TableCaption"/>
      </w:pPr>
      <w:r>
        <w:t xml:space="preserve">표 6. 교차 참조 검증 결과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테스트 세트</w:t>
            </w:r>
          </w:p>
        </w:tc>
        <w:tc>
          <w:tcPr/>
          <w:p>
            <w:pPr>
              <w:pStyle w:val="Compact"/>
              <w:jc w:val="right"/>
            </w:pPr>
            <w:r>
              <w:t xml:space="preserve">샘플 수</w:t>
            </w:r>
          </w:p>
        </w:tc>
        <w:tc>
          <w:tcPr/>
          <w:p>
            <w:pPr>
              <w:pStyle w:val="Compact"/>
              <w:jc w:val="right"/>
            </w:pPr>
            <w:r>
              <w:t xml:space="preserve">일치율</w:t>
            </w:r>
          </w:p>
        </w:tc>
      </w:tr>
      <w:tr>
        <w:tc>
          <w:tcPr/>
          <w:p>
            <w:pPr>
              <w:pStyle w:val="Compact"/>
            </w:pPr>
            <w:r>
              <w:t xml:space="preserve">기본 한글 음절</w:t>
            </w:r>
          </w:p>
        </w:tc>
        <w:tc>
          <w:tcPr/>
          <w:p>
            <w:pPr>
              <w:pStyle w:val="Compact"/>
              <w:jc w:val="right"/>
            </w:pPr>
            <w:r>
              <w:t xml:space="preserve">41</w:t>
            </w:r>
          </w:p>
        </w:tc>
        <w:tc>
          <w:tcPr/>
          <w:p>
            <w:pPr>
              <w:pStyle w:val="Compact"/>
              <w:jc w:val="right"/>
            </w:pPr>
            <w:r>
              <w:t xml:space="preserve">100%</w:t>
            </w:r>
          </w:p>
        </w:tc>
      </w:tr>
      <w:tr>
        <w:tc>
          <w:tcPr/>
          <w:p>
            <w:pPr>
              <w:pStyle w:val="Compact"/>
            </w:pPr>
            <w:r>
              <w:t xml:space="preserve">한국어 골든 문장</w:t>
            </w:r>
          </w:p>
        </w:tc>
        <w:tc>
          <w:tcPr/>
          <w:p>
            <w:pPr>
              <w:pStyle w:val="Compact"/>
              <w:jc w:val="right"/>
            </w:pPr>
            <w:r>
              <w:t xml:space="preserve">45</w:t>
            </w:r>
          </w:p>
        </w:tc>
        <w:tc>
          <w:tcPr/>
          <w:p>
            <w:pPr>
              <w:pStyle w:val="Compact"/>
              <w:jc w:val="right"/>
            </w:pPr>
            <w:r>
              <w:t xml:space="preserve">100%</w:t>
            </w:r>
          </w:p>
        </w:tc>
      </w:tr>
      <w:tr>
        <w:tc>
          <w:tcPr/>
          <w:p>
            <w:pPr>
              <w:pStyle w:val="Compact"/>
            </w:pPr>
            <w:r>
              <w:t xml:space="preserve">MSDS 화학물질명</w:t>
            </w:r>
          </w:p>
        </w:tc>
        <w:tc>
          <w:tcPr/>
          <w:p>
            <w:pPr>
              <w:pStyle w:val="Compact"/>
              <w:jc w:val="right"/>
            </w:pPr>
            <w:r>
              <w:t xml:space="preserve">356</w:t>
            </w:r>
          </w:p>
        </w:tc>
        <w:tc>
          <w:tcPr/>
          <w:p>
            <w:pPr>
              <w:pStyle w:val="Compact"/>
              <w:jc w:val="right"/>
            </w:pPr>
            <w:r>
              <w:t xml:space="preserve">100%</w:t>
            </w:r>
          </w:p>
        </w:tc>
      </w:tr>
      <w:tr>
        <w:tc>
          <w:tcPr/>
          <w:p>
            <w:pPr>
              <w:pStyle w:val="Compact"/>
            </w:pPr>
            <w:r>
              <w:rPr>
                <w:b/>
                <w:bCs/>
              </w:rPr>
              <w:t xml:space="preserve">합계</w:t>
            </w:r>
          </w:p>
        </w:tc>
        <w:tc>
          <w:tcPr/>
          <w:p>
            <w:pPr>
              <w:pStyle w:val="Compact"/>
              <w:jc w:val="right"/>
            </w:pPr>
            <w:r>
              <w:rPr>
                <w:b/>
                <w:bCs/>
              </w:rPr>
              <w:t xml:space="preserve">442</w:t>
            </w:r>
          </w:p>
        </w:tc>
        <w:tc>
          <w:tcPr/>
          <w:p>
            <w:pPr>
              <w:pStyle w:val="Compact"/>
              <w:jc w:val="right"/>
            </w:pPr>
            <w:r>
              <w:rPr>
                <w:b/>
                <w:bCs/>
              </w:rPr>
              <w:t xml:space="preserve">100%</w:t>
            </w:r>
          </w:p>
        </w:tc>
      </w:tr>
    </w:tbl>
    <w:p>
      <w:pPr>
        <w:pStyle w:val="Heading2"/>
      </w:pPr>
      <w:r>
        <w:t xml:space="preserve">5.3 인코딩 특성</w:t>
      </w:r>
    </w:p>
    <w:p>
      <w:pPr>
        <w:numPr>
          <w:ilvl w:val="0"/>
          <w:numId w:val="1002"/>
        </w:numPr>
      </w:pPr>
      <w:r>
        <w:rPr>
          <w:b/>
          <w:bCs/>
        </w:rPr>
        <w:t xml:space="preserve">결정론적</w:t>
      </w:r>
      <w:r>
        <w:t xml:space="preserve">: 동일한 입력은 항상 동일한 출력을 만든다.</w:t>
      </w:r>
    </w:p>
    <w:p>
      <w:pPr>
        <w:numPr>
          <w:ilvl w:val="0"/>
          <w:numId w:val="1002"/>
        </w:numPr>
      </w:pPr>
      <w:r>
        <w:rPr>
          <w:b/>
          <w:bCs/>
        </w:rPr>
        <w:t xml:space="preserve">단사적</w:t>
      </w:r>
      <w:r>
        <w:t xml:space="preserve">: 서로 다른 한글 음절은 서로 다른 한국 점자 문자열을 만든다. 한글 유니코드 분해로 알고리즘 검증했으며, 442개 교차 참조 테스트 입력 전체에서 확인했다.</w:t>
      </w:r>
    </w:p>
    <w:p>
      <w:pPr>
        <w:numPr>
          <w:ilvl w:val="0"/>
          <w:numId w:val="1002"/>
        </w:numPr>
      </w:pPr>
      <w:r>
        <w:rPr>
          <w:b/>
          <w:bCs/>
        </w:rPr>
        <w:t xml:space="preserve">규정 준수</w:t>
      </w:r>
      <w:r>
        <w:t xml:space="preserve">: 모든 점형이 2017년 한국 점자 규정 [12]과 일치한다.</w:t>
      </w:r>
    </w:p>
    <w:bookmarkEnd w:id="37"/>
    <w:bookmarkStart w:id="38" w:name="검증-범위"/>
    <w:p>
      <w:pPr>
        <w:pStyle w:val="Heading2"/>
      </w:pPr>
      <w:r>
        <w:t xml:space="preserve">5.4 검증 범위</w:t>
      </w:r>
    </w:p>
    <w:p>
      <w:pPr>
        <w:pStyle w:val="FirstParagraph"/>
      </w:pPr>
      <w:r>
        <w:t xml:space="preserve">본 검증은 인코딩 매핑이 독립 구현 및 공포된 표준과 일치함을 보인다. 한국어 라운드트립 수치는 디코더 경로 검증으로 해석하며, 인코더 정확성을 부정하는 증거로 사용하지 않는다. 현재 공개 골든 셋은 45/45로 라운드트립하고, 27개 혼합 형식 스트레스 코퍼스에서도 0건의 실패를 보고한다. 본 연구는 시각장애 독자를 대상으로 한 읽기 이해 사용자 연구를 포함하지 않으며, 한국어 2종 축약 점자는 구현하지 않는다.</w:t>
      </w:r>
    </w:p>
    <w:bookmarkEnd w:id="38"/>
    <w:bookmarkEnd w:id="39"/>
    <w:bookmarkStart w:id="43" w:name="참조-배포"/>
    <w:p>
      <w:pPr>
        <w:pStyle w:val="Heading1"/>
      </w:pPr>
      <w:r>
        <w:t xml:space="preserve">6. 참조 배포</w:t>
      </w:r>
    </w:p>
    <w:p>
      <w:pPr>
        <w:pStyle w:val="Heading2"/>
      </w:pPr>
      <w:r>
        <w:t xml:space="preserve">6.1 구조</w:t>
      </w:r>
    </w:p>
    <w:p>
      <w:pPr>
        <w:pStyle w:val="FirstParagraph"/>
      </w:pPr>
      <w:r>
        <w:t xml:space="preserve">웹 서비스는 FastAPI 백엔드와 단일 페이지 HTML/JavaScript 프런트엔드로 구성된다. SQLite는 사전 수집된 MSDS XML을 저장하고, 점자 변환은 요청 시 수행된다.</w:t>
      </w:r>
    </w:p>
    <w:p>
      <w:pPr>
        <w:pStyle w:val="Heading2"/>
      </w:pPr>
      <w:r>
        <w:t xml:space="preserve">6.2 API 엔드포인트</w:t>
      </w:r>
    </w:p>
    <w:p>
      <w:pPr>
        <w:numPr>
          <w:ilvl w:val="0"/>
          <w:numId w:val="1002"/>
        </w:numPr>
      </w:pPr>
      <w:r>
        <w:rPr>
          <w:rStyle w:val="VerbatimChar"/>
        </w:rPr>
        <w:t xml:space="preserve">GET /api/stats</w:t>
      </w:r>
      <w:r>
        <w:t xml:space="preserve"> – 코퍼스 통계</w:t>
      </w:r>
    </w:p>
    <w:p>
      <w:pPr>
        <w:numPr>
          <w:ilvl w:val="0"/>
          <w:numId w:val="1002"/>
        </w:numPr>
      </w:pPr>
      <w:r>
        <w:rPr>
          <w:rStyle w:val="VerbatimChar"/>
        </w:rPr>
        <w:t xml:space="preserve">GET /api/chemicals?search=</w:t>
      </w:r>
      <w:r>
        <w:t xml:space="preserve"> – 한국어 물질명 또는 CAS 번호 검색</w:t>
      </w:r>
    </w:p>
    <w:p>
      <w:pPr>
        <w:numPr>
          <w:ilvl w:val="0"/>
          <w:numId w:val="1002"/>
        </w:numPr>
      </w:pPr>
      <w:r>
        <w:rPr>
          <w:rStyle w:val="VerbatimChar"/>
        </w:rPr>
        <w:t xml:space="preserve">GET /api/chemicals/{id}</w:t>
      </w:r>
      <w:r>
        <w:t xml:space="preserve"> – MSDS 전체 본문</w:t>
      </w:r>
    </w:p>
    <w:p>
      <w:pPr>
        <w:numPr>
          <w:ilvl w:val="0"/>
          <w:numId w:val="1002"/>
        </w:numPr>
      </w:pPr>
      <w:r>
        <w:rPr>
          <w:rStyle w:val="VerbatimChar"/>
        </w:rPr>
        <w:t xml:space="preserve">GET /api/chemicals/{id}/braille</w:t>
      </w:r>
      <w:r>
        <w:t xml:space="preserve"> – 한국어 점자 포함 MSDS</w:t>
      </w:r>
    </w:p>
    <w:p>
      <w:pPr>
        <w:numPr>
          <w:ilvl w:val="0"/>
          <w:numId w:val="1002"/>
        </w:numPr>
      </w:pPr>
      <w:r>
        <w:rPr>
          <w:rStyle w:val="VerbatimChar"/>
        </w:rPr>
        <w:t xml:space="preserve">GET /api/chemicals/{id}/braille.txt</w:t>
      </w:r>
      <w:r>
        <w:t xml:space="preserve"> – 유니코드 점자 다운로드</w:t>
      </w:r>
    </w:p>
    <w:p>
      <w:pPr>
        <w:numPr>
          <w:ilvl w:val="0"/>
          <w:numId w:val="1002"/>
        </w:numPr>
      </w:pPr>
      <w:r>
        <w:rPr>
          <w:rStyle w:val="VerbatimChar"/>
        </w:rPr>
        <w:t xml:space="preserve">GET /api/chemicals/{id}/braille.brf</w:t>
      </w:r>
      <w:r>
        <w:t xml:space="preserve"> – BRF(점자 프린터) 다운로드</w:t>
      </w:r>
    </w:p>
    <w:p>
      <w:pPr>
        <w:numPr>
          <w:ilvl w:val="0"/>
          <w:numId w:val="1002"/>
        </w:numPr>
      </w:pPr>
      <w:r>
        <w:rPr>
          <w:rStyle w:val="VerbatimChar"/>
        </w:rPr>
        <w:t xml:space="preserve">POST /api/convert</w:t>
      </w:r>
      <w:r>
        <w:t xml:space="preserve"> – 임의 한국어→점자 변환</w:t>
      </w:r>
    </w:p>
    <w:p>
      <w:pPr>
        <w:pStyle w:val="Heading2"/>
      </w:pPr>
      <w:r>
        <w:t xml:space="preserve">6.3 사용자 인터페이스와 소비 경로</w:t>
      </w:r>
    </w:p>
    <w:p>
      <w:pPr>
        <w:pStyle w:val="CaptionedFigure"/>
      </w:pPr>
      <w:r>
        <w:drawing>
          <wp:inline>
            <wp:extent cx="5486400" cy="3696004"/>
            <wp:effectExtent b="0" l="0" r="0" t="0"/>
            <wp:docPr descr="검색 결과, 한국어 본문, 점자 표시를 병렬로 보여 주는 참조 웹 서비스 화면." title="" id="41" name="Picture"/>
            <a:graphic>
              <a:graphicData uri="http://schemas.openxmlformats.org/drawingml/2006/picture">
                <pic:pic>
                  <pic:nvPicPr>
                    <pic:cNvPr descr="fig_webui.png" id="42" name="Picture"/>
                    <pic:cNvPicPr>
                      <a:picLocks noChangeArrowheads="1" noChangeAspect="1"/>
                    </pic:cNvPicPr>
                  </pic:nvPicPr>
                  <pic:blipFill>
                    <a:blip r:embed="rId40"/>
                    <a:stretch>
                      <a:fillRect/>
                    </a:stretch>
                  </pic:blipFill>
                  <pic:spPr bwMode="auto">
                    <a:xfrm>
                      <a:off x="0" y="0"/>
                      <a:ext cx="5486400" cy="3696004"/>
                    </a:xfrm>
                    <a:prstGeom prst="rect">
                      <a:avLst/>
                    </a:prstGeom>
                    <a:noFill/>
                    <a:ln w="9525">
                      <a:noFill/>
                      <a:headEnd/>
                      <a:tailEnd/>
                    </a:ln>
                  </pic:spPr>
                </pic:pic>
              </a:graphicData>
            </a:graphic>
          </wp:inline>
        </w:drawing>
      </w:r>
    </w:p>
    <w:p>
      <w:pPr>
        <w:pStyle w:val="ImageCaption"/>
        <w:rPr>
          <w:i w:val="0"/>
          <w:iCs/>
        </w:rPr>
      </w:pPr>
      <w:r>
        <w:rPr>
          <w:i w:val="0"/>
          <w:iCs/>
        </w:rPr>
        <w:t xml:space="preserve">그림 5. 참조 웹 배포</w:t>
      </w:r>
    </w:p>
    <w:p>
      <w:pPr>
        <w:pStyle w:val="ImageCaption"/>
      </w:pPr>
      <w:r>
        <w:t xml:space="preserve">검색 결과, 한국어 본문, 점자 표시를 병렬로 보여 주는 참조 웹 서비스 화면.</w:t>
      </w:r>
    </w:p>
    <w:p>
      <w:pPr>
        <w:pStyle w:val="BodyText"/>
      </w:pPr>
      <w:r>
        <w:t xml:space="preserve">시각적 병렬 뷰는 규제기관, 조달 담당자, 감사관 등 비장애 이해관계자가 점자 생산 여부와 원문 일관성을 확인하기 위한 표면이다. 점자 독자에게 기능적으로 중요한 출력은 BRF와 유니코드 파일이며, 이들은 점자 디스플레이, 점자 프린터, 접근 가능한 읽기 소프트웨어에 직접 투입될 수 있다.</w:t>
      </w:r>
    </w:p>
    <w:bookmarkEnd w:id="43"/>
    <w:bookmarkStart w:id="44" w:name="확장성"/>
    <w:p>
      <w:pPr>
        <w:pStyle w:val="Heading1"/>
      </w:pPr>
      <w:r>
        <w:t xml:space="preserve">7. 확장성</w:t>
      </w:r>
    </w:p>
    <w:p>
      <w:pPr>
        <w:pStyle w:val="FirstParagraph"/>
      </w:pPr>
      <w:r>
        <w:t xml:space="preserve">본 릴리스는 아직 실행하지 않은 추가 영역을 완료된 결과처럼 과장하지 않는다. 확장성 주장은 현재 산출물이 실제로 보이는 범위로 제한한다.</w:t>
      </w:r>
    </w:p>
    <w:p>
      <w:pPr>
        <w:pStyle w:val="Compact"/>
        <w:numPr>
          <w:ilvl w:val="0"/>
          <w:numId w:val="1002"/>
        </w:numPr>
      </w:pPr>
      <w:r>
        <w:rPr>
          <w:b/>
          <w:bCs/>
        </w:rPr>
        <w:t xml:space="preserve">검증된 영역:</w:t>
      </w:r>
      <w:r>
        <w:t xml:space="preserve"> </w:t>
      </w:r>
      <w:r>
        <w:t xml:space="preserve">KOSHA MSDS 전체 체계. 데이터 수집, GHS 텍스트 해소, 점자 인코딩, BRF/유니코드 전달, 참조 웹 서비스까지 종단 간으로 실행된다.</w:t>
      </w:r>
    </w:p>
    <w:p>
      <w:pPr>
        <w:pStyle w:val="Compact"/>
        <w:numPr>
          <w:ilvl w:val="0"/>
          <w:numId w:val="1002"/>
        </w:numPr>
      </w:pPr>
      <w:r>
        <w:rPr>
          <w:b/>
          <w:bCs/>
        </w:rPr>
        <w:t xml:space="preserve">소규모 확장 시연:</w:t>
      </w:r>
      <w:r>
        <w:t xml:space="preserve"> </w:t>
      </w:r>
      <w:r>
        <w:t xml:space="preserve">한국어 식품 알레르겐 문구와 KISCHEM 응급조치/산업보건 100건 내보내기는 같은 인코더가 MSDS 바깥에서도 작동함을 보이지만, 별도 대규모 영역 릴리스로 주장하지 않는다.</w:t>
      </w:r>
    </w:p>
    <w:p>
      <w:pPr>
        <w:pStyle w:val="Compact"/>
        <w:numPr>
          <w:ilvl w:val="0"/>
          <w:numId w:val="1002"/>
        </w:numPr>
      </w:pPr>
      <w:r>
        <w:rPr>
          <w:b/>
          <w:bCs/>
        </w:rPr>
        <w:t xml:space="preserve">재사용 가능한 키:</w:t>
      </w:r>
      <w:r>
        <w:t xml:space="preserve"> </w:t>
      </w:r>
      <w:r>
        <w:t xml:space="preserve">CAS 식별자는 점자 인코더를 바꾸지 않고 화학물질 레지스트리와 연결할 수 있는 다리를 제공한다. 추가 규제 코퍼스는 후속 작업이다.</w:t>
      </w:r>
    </w:p>
    <w:p>
      <w:pPr>
        <w:pStyle w:val="FirstParagraph"/>
      </w:pPr>
      <w:r>
        <w:t xml:space="preserve">따라서 재사용 가능한 패턴은</w:t>
      </w:r>
      <w:r>
        <w:t xml:space="preserve"> </w:t>
      </w:r>
      <w:r>
        <w:t xml:space="preserve">“구조화된 공공안전 원문 -&gt; 영역별 정제 -&gt; 언어별 점자 인코더 -&gt; 버전 관리된 코퍼스와 다운로드 형식”</w:t>
      </w:r>
      <w:r>
        <w:t xml:space="preserve">이다.</w:t>
      </w:r>
    </w:p>
    <w:bookmarkEnd w:id="44"/>
    <w:bookmarkStart w:id="47" w:name="논의"/>
    <w:p>
      <w:pPr>
        <w:pStyle w:val="Heading1"/>
      </w:pPr>
      <w:r>
        <w:t xml:space="preserve">8. 논의</w:t>
      </w:r>
    </w:p>
    <w:p>
      <w:pPr>
        <w:pStyle w:val="FirstParagraph"/>
      </w:pPr>
      <w:r>
        <w:t xml:space="preserve">KOSHA-Braille는 접근성 자원 릴리스로 평가된다. 평가 기준은 비장애 독자용 원천 기록과의 커버리지, 표준 준수, 결정성, 재현성, 공개 접근 가능성이다. 이 기준에서 본 릴리스는 기존에 비어 있던 한국 화학 안전 점자 범주를 채운다.</w:t>
      </w:r>
    </w:p>
    <w:p>
      <w:pPr>
        <w:pStyle w:val="BodyText"/>
      </w:pPr>
      <w:r>
        <w:rPr>
          <w:b/>
          <w:bCs/>
        </w:rPr>
        <w:t xml:space="preserve">검증됨.</w:t>
      </w:r>
      <w:r>
        <w:t xml:space="preserve"> </w:t>
      </w:r>
      <w:r>
        <w:t xml:space="preserve">인코더는 2017년 한국 점자 규정을 결정론적으로 구현한다. 독립 변환기와 442건 테스트에서 100% 일치하며, 릴리스 시점의 KOSHA MSDS 데이터베이스에 존재하는 모든 화학물질을 포괄한다. 공개 디코더 경로는 45문장 한국어 골든 셋을 45/45로 라운드트립하고, 27개 스트레스 코퍼스에서 0건의 실패를 보고한다.</w:t>
      </w:r>
    </w:p>
    <w:p>
      <w:pPr>
        <w:pStyle w:val="BodyText"/>
      </w:pPr>
      <w:r>
        <w:rPr>
          <w:b/>
          <w:bCs/>
        </w:rPr>
        <w:t xml:space="preserve">아직 검증되지 않음.</w:t>
      </w:r>
      <w:r>
        <w:t xml:space="preserve"> </w:t>
      </w:r>
      <w:r>
        <w:t xml:space="preserve">본 보고서는 시각장애 독자의 읽기 이해, 점자 디스플레이나 점자 프린터 환경에서의 주관적 사용성, GHS 픽토그램-텍스트 해소가 유해성 인식에 충분한지 여부를 측정하지 않는다. 이들은 독자와 산출물의 상호작용에 관한 별도 연구이며, 본 자원을 기반으로 충분한 검정력을 갖춘 사용자 평가가 필요하다.</w:t>
      </w:r>
    </w:p>
    <w:bookmarkStart w:id="45" w:name="알려진-한계"/>
    <w:p>
      <w:pPr>
        <w:pStyle w:val="Heading2"/>
      </w:pPr>
      <w:r>
        <w:t xml:space="preserve">8.1 알려진 한계</w:t>
      </w:r>
    </w:p>
    <w:p>
      <w:pPr>
        <w:pStyle w:val="Compact"/>
        <w:numPr>
          <w:ilvl w:val="0"/>
          <w:numId w:val="1003"/>
        </w:numPr>
      </w:pPr>
      <w:r>
        <w:rPr>
          <w:b/>
          <w:bCs/>
        </w:rPr>
        <w:t xml:space="preserve">읽기 이해 사용자 연구 부재:</w:t>
      </w:r>
      <w:r>
        <w:t xml:space="preserve"> </w:t>
      </w:r>
      <w:r>
        <w:t xml:space="preserve">현재 릴리스는 인프라 기준선이지 사용자 성능 연구가 아니다.</w:t>
      </w:r>
    </w:p>
    <w:p>
      <w:pPr>
        <w:pStyle w:val="Compact"/>
        <w:numPr>
          <w:ilvl w:val="0"/>
          <w:numId w:val="1003"/>
        </w:numPr>
      </w:pPr>
      <w:r>
        <w:rPr>
          <w:b/>
          <w:bCs/>
        </w:rPr>
        <w:t xml:space="preserve">1종 점자만 지원:</w:t>
      </w:r>
      <w:r>
        <w:t xml:space="preserve"> </w:t>
      </w:r>
      <w:r>
        <w:t xml:space="preserve">한국어 2종 축약 점자는 문서를 줄일 수 있지만 문맥 의존 결정을 도입하므로 현 단계의 엄격한 결정성과 충돌할 수 있다.</w:t>
      </w:r>
    </w:p>
    <w:p>
      <w:pPr>
        <w:pStyle w:val="Compact"/>
        <w:numPr>
          <w:ilvl w:val="0"/>
          <w:numId w:val="1003"/>
        </w:numPr>
      </w:pPr>
      <w:r>
        <w:rPr>
          <w:b/>
          <w:bCs/>
        </w:rPr>
        <w:t xml:space="preserve">초성/종성 경계 디코딩 모호성:</w:t>
      </w:r>
      <w:r>
        <w:t xml:space="preserve"> </w:t>
      </w:r>
      <w:r>
        <w:t xml:space="preserve">한국 점자 일반의 구조적 모호성이지만, 현재 공개 디코더 경로는 골든 셋과 스트레스 코퍼스에서 실패를 보고하지 않는다. 남은 위험은 현재 벤치마크 밖의 실제 edge case에 집중된다.</w:t>
      </w:r>
    </w:p>
    <w:bookmarkEnd w:id="45"/>
    <w:bookmarkStart w:id="46" w:name="유지-및-업데이트-모델"/>
    <w:p>
      <w:pPr>
        <w:pStyle w:val="Heading2"/>
      </w:pPr>
      <w:r>
        <w:t xml:space="preserve">8.2 유지 및 업데이트 모델</w:t>
      </w:r>
    </w:p>
    <w:p>
      <w:pPr>
        <w:pStyle w:val="FirstParagraph"/>
      </w:pPr>
      <w:r>
        <w:t xml:space="preserve">KOSHA MSDS 데이터베이스는 시간에 따라 변경되므로, 본 릴리스는 최종 정적 권위가 아니라 버전 관리된 스냅샷으로 다룬다. 수집 계층은 공공데이터포털 엔드포인트에 대해 재실행 가능하고, 인코더와 검증 스크립트는 오픈소스로 공개되어 있으며, HuggingFace/GitHub 릴리스는 사용자가 특정 코퍼스 스냅샷을 고정하거나 이후 버전을 재생성할 수 있게 한다. 단일 유지관리자 위험은 남지만, 재생성 경로는 공개되고 재현 가능하다.</w:t>
      </w:r>
    </w:p>
    <w:bookmarkEnd w:id="46"/>
    <w:bookmarkEnd w:id="47"/>
    <w:bookmarkStart w:id="48" w:name="결론"/>
    <w:p>
      <w:pPr>
        <w:pStyle w:val="Heading1"/>
      </w:pPr>
      <w:r>
        <w:t xml:space="preserve">9. 결론</w:t>
      </w:r>
    </w:p>
    <w:p>
      <w:pPr>
        <w:pStyle w:val="FirstParagraph"/>
      </w:pPr>
      <w:r>
        <w:t xml:space="preserve">KOSHA-Braille는 한국 화학 안전 정보에 대한 공개 접근성 자원을 제공한다. 이는 48,966종 화학물질과 2억 3,230만 점자 셀 규모의 코퍼스로, 2017년 한국 점자 규정에 맞춘 결정론적 인코더를 통해 생성되었고 코드, 검증 스크립트, 참조 배포와 함께 공개되었다. 본 논문의 기여는 자원의 구축, 검증, 릴리스이며, 최종 사용자 읽기 성능에 관한 주장이 아니다.</w:t>
      </w:r>
    </w:p>
    <w:p>
      <w:pPr>
        <w:pStyle w:val="BodyText"/>
      </w:pPr>
      <w:r>
        <w:t xml:space="preserve">다음 연구 단계는 시각장애 독자를 대상으로 한 읽기 이해 및 현장 사용성 연구이다. 여기에는 2종/축약 점자 선호, GHS 픽토그램에 대한 촉각 또는 청각 대안 비교가 포함된다. 그 전까지 본 릴리스는 그러한 사용자 대면 연구가 구축될 수 있는 재현 가능한 기준선으로 기능한다.</w:t>
      </w:r>
    </w:p>
    <w:bookmarkEnd w:id="48"/>
    <w:bookmarkStart w:id="49" w:name="감사의-말"/>
    <w:p>
      <w:pPr>
        <w:pStyle w:val="Heading1"/>
      </w:pPr>
      <w:r>
        <w:t xml:space="preserve">감사의 말</w:t>
      </w:r>
    </w:p>
    <w:p>
      <w:pPr>
        <w:pStyle w:val="FirstParagraph"/>
      </w:pPr>
      <w:r>
        <w:t xml:space="preserve">저자는 본 연구에 사용된 물질안전보건자료 기록을 유지해 온 안전보건공단(KOSHA)과, 해당 기록에 대한 공개 API 접근을 제공한 공공데이터포털에 감사한다.</w:t>
      </w:r>
    </w:p>
    <w:p>
      <w:pPr>
        <w:pStyle w:val="BodyText"/>
      </w:pPr>
      <w:r>
        <w:t xml:space="preserve">또한 저자는 On the Wings of a Butterfly의 현진식 감독과 무용수 고아라에게 감사한다. 본 연구는 시각장애인의 문자 안전정보 접근을 다루지만, 소리와 움직임, 돌봄과 예술적 표현이 또 다른 감각의 길을 통해 다시 발견될 수 있음을 조용히 응시한 이 작품은 접근성이 한 사람의 세계를 조금 더 열어 주는 작지만 구체적인 변화에서 시작된다는 것을 저자에게 일깨워 주었다. 저자는 이 연구가 그러한 한 걸음이 되기를 바란다.</w:t>
      </w:r>
    </w:p>
    <w:p>
      <w:pPr>
        <w:pStyle w:val="BodyText"/>
      </w:pPr>
      <w:r>
        <w:t xml:space="preserve">저자는 김경철에게 깊이 감사한다. 그의 조용한 본보기는 중심을 지키고, 절제하며, 자신의 원칙을 따뜻함과 품위로 지켜 내라는 오랜 일깨움으로 남아 있다.</w:t>
      </w:r>
    </w:p>
    <w:p>
      <w:pPr>
        <w:pStyle w:val="BodyText"/>
      </w:pPr>
      <w:r>
        <w:t xml:space="preserve">마지막으로 저자는 말이 필요 없고 빚으로 남지 않는 방식으로 지지해 준 부모님 Jae-Seob과 Soon-Hee, 그리고 결국 이 모든 것의 이유인 Jisun, Soul, Yule, June에게 감사한다.</w:t>
      </w:r>
    </w:p>
    <w:bookmarkEnd w:id="49"/>
    <w:bookmarkStart w:id="55" w:name="선언"/>
    <w:p>
      <w:pPr>
        <w:pStyle w:val="Heading1"/>
      </w:pPr>
      <w:r>
        <w:t xml:space="preserve">선언</w:t>
      </w:r>
    </w:p>
    <w:bookmarkStart w:id="50" w:name="연구비"/>
    <w:p>
      <w:pPr>
        <w:pStyle w:val="Heading2"/>
      </w:pPr>
      <w:r>
        <w:t xml:space="preserve">연구비</w:t>
      </w:r>
    </w:p>
    <w:p>
      <w:pPr>
        <w:pStyle w:val="FirstParagraph"/>
      </w:pPr>
      <w:r>
        <w:t xml:space="preserve">본 연구는 외부 연구비를 받지 않았다. 계산 자원, 인프라, 공공데이터포털 API 접근은 저자가 자체 부담하였다.</w:t>
      </w:r>
    </w:p>
    <w:bookmarkEnd w:id="50"/>
    <w:bookmarkStart w:id="51" w:name="이해상충"/>
    <w:p>
      <w:pPr>
        <w:pStyle w:val="Heading2"/>
      </w:pPr>
      <w:r>
        <w:t xml:space="preserve">이해상충</w:t>
      </w:r>
    </w:p>
    <w:p>
      <w:pPr>
        <w:pStyle w:val="FirstParagraph"/>
      </w:pPr>
      <w:r>
        <w:t xml:space="preserve">저자는 재정적 또는 비재정적 이해상충이 없음을 선언한다.</w:t>
      </w:r>
    </w:p>
    <w:bookmarkEnd w:id="51"/>
    <w:bookmarkStart w:id="52" w:name="윤리-및-동의"/>
    <w:p>
      <w:pPr>
        <w:pStyle w:val="Heading2"/>
      </w:pPr>
      <w:r>
        <w:t xml:space="preserve">윤리 및 동의</w:t>
      </w:r>
    </w:p>
    <w:p>
      <w:pPr>
        <w:pStyle w:val="FirstParagraph"/>
      </w:pPr>
      <w:r>
        <w:t xml:space="preserve">본 연구는 인간 대상, 동물 대상, 개인식별정보를 포함하지 않는다. 원천 데이터는 공개 규제 자료이다. 따라서 윤리 승인, 참여 동의, 출판 동의는 해당하지 않는다.</w:t>
      </w:r>
    </w:p>
    <w:bookmarkEnd w:id="52"/>
    <w:bookmarkStart w:id="53" w:name="저자-기여"/>
    <w:p>
      <w:pPr>
        <w:pStyle w:val="Heading2"/>
      </w:pPr>
      <w:r>
        <w:t xml:space="preserve">저자 기여</w:t>
      </w:r>
    </w:p>
    <w:p>
      <w:pPr>
        <w:pStyle w:val="FirstParagraph"/>
      </w:pPr>
      <w:r>
        <w:t xml:space="preserve">단독 저자: 연구 구상, 설계, 구현, 검증, 분석, 원고 작성.</w:t>
      </w:r>
    </w:p>
    <w:bookmarkEnd w:id="53"/>
    <w:bookmarkStart w:id="54" w:name="데이터-및-코드-가용성"/>
    <w:p>
      <w:pPr>
        <w:pStyle w:val="Heading2"/>
      </w:pPr>
      <w:r>
        <w:t xml:space="preserve">데이터 및 코드 가용성</w:t>
      </w:r>
    </w:p>
    <w:p>
      <w:pPr>
        <w:pStyle w:val="FirstParagraph"/>
      </w:pPr>
      <w:r>
        <w:t xml:space="preserve">데이터셋은 HuggingFace Datasets의</w:t>
      </w:r>
      <w:r>
        <w:t xml:space="preserve"> </w:t>
      </w:r>
      <w:r>
        <w:rPr>
          <w:rStyle w:val="VerbatimChar"/>
        </w:rPr>
        <w:t xml:space="preserve">Yuyongkim/inconvenience-msds</w:t>
      </w:r>
      <w:r>
        <w:t xml:space="preserve">로 공개되어 있다</w:t>
      </w:r>
      <w:r>
        <w:t xml:space="preserve"> </w:t>
      </w:r>
      <w:r>
        <w:t xml:space="preserve">[14]</w:t>
      </w:r>
      <w:r>
        <w:t xml:space="preserve">. 인코더, 디코더, 파이프라인, 웹 서비스, 평가 하네스, 검증 스크립트는 GitHub의</w:t>
      </w:r>
      <w:r>
        <w:t xml:space="preserve"> </w:t>
      </w:r>
      <w:r>
        <w:rPr>
          <w:rStyle w:val="VerbatimChar"/>
        </w:rPr>
        <w:t xml:space="preserve">yuyongkim/inconvenience-msds</w:t>
      </w:r>
      <w:r>
        <w:t xml:space="preserve">로 공개되어 있다</w:t>
      </w:r>
      <w:r>
        <w:t xml:space="preserve"> </w:t>
      </w:r>
      <w:r>
        <w:t xml:space="preserve">[15]</w:t>
      </w:r>
      <w:r>
        <w:t xml:space="preserve">. MSDS 원천 데이터는 공공데이터포털에서 공개 접근 가능하다</w:t>
      </w:r>
      <w:r>
        <w:t xml:space="preserve"> </w:t>
      </w:r>
      <w:r>
        <w:t xml:space="preserve">[13]</w:t>
      </w:r>
      <w:r>
        <w:t xml:space="preserve">. 데이터셋 라이선스는 CC BY 4.0, 코드 라이선스는 MIT이다.</w:t>
      </w:r>
    </w:p>
    <w:bookmarkEnd w:id="54"/>
    <w:bookmarkEnd w:id="55"/>
    <w:bookmarkStart w:id="81" w:name="bibliography"/>
    <w:p>
      <w:pPr>
        <w:pStyle w:val="Heading1"/>
      </w:pPr>
      <w:r>
        <w:t xml:space="preserve">참고문헌</w:t>
      </w:r>
    </w:p>
    <w:bookmarkStart w:id="80" w:name="refs"/>
    <w:bookmarkStart w:id="56" w:name="ref-kosha_act"/>
    <w:p>
      <w:pPr>
        <w:pStyle w:val="Bibliography"/>
      </w:pPr>
      <w:r>
        <w:t xml:space="preserve">[1]</w:t>
      </w:r>
      <w:r>
        <w:t xml:space="preserve"> </w:t>
      </w:r>
      <w:r>
        <w:t xml:space="preserve">	</w:t>
      </w:r>
      <w:r>
        <w:t xml:space="preserve">Ministry of Employment and Labor,</w:t>
      </w:r>
      <w:r>
        <w:t xml:space="preserve"> </w:t>
      </w:r>
      <w:r>
        <w:t xml:space="preserve">“Occupational safety and health act, arts. 110–111,”</w:t>
      </w:r>
      <w:r>
        <w:t xml:space="preserve"> </w:t>
      </w:r>
      <w:r>
        <w:t xml:space="preserve">Republic of Korea, 2020.</w:t>
      </w:r>
    </w:p>
    <w:bookmarkEnd w:id="56"/>
    <w:bookmarkStart w:id="57" w:name="ref-crpd"/>
    <w:p>
      <w:pPr>
        <w:pStyle w:val="Bibliography"/>
      </w:pPr>
      <w:r>
        <w:t xml:space="preserve">[2]</w:t>
      </w:r>
      <w:r>
        <w:t xml:space="preserve"> </w:t>
      </w:r>
      <w:r>
        <w:t xml:space="preserve">	</w:t>
      </w:r>
      <w:r>
        <w:t xml:space="preserve">United Nations General Assembly,</w:t>
      </w:r>
      <w:r>
        <w:t xml:space="preserve"> </w:t>
      </w:r>
      <w:r>
        <w:t xml:space="preserve">“Convention on the rights of persons with disabilities, art. 9 (accessibility),”</w:t>
      </w:r>
      <w:r>
        <w:t xml:space="preserve"> </w:t>
      </w:r>
      <w:r>
        <w:t xml:space="preserve">Resolution A/RES/61/106; adopted 13 December 2006; entered into force 3 May 2008, 2006.</w:t>
      </w:r>
    </w:p>
    <w:bookmarkEnd w:id="57"/>
    <w:bookmarkStart w:id="59" w:name="ref-kdpa"/>
    <w:p>
      <w:pPr>
        <w:pStyle w:val="Bibliography"/>
      </w:pPr>
      <w:r>
        <w:t xml:space="preserve">[3]</w:t>
      </w:r>
      <w:r>
        <w:t xml:space="preserve"> </w:t>
      </w:r>
      <w:r>
        <w:t xml:space="preserve">	</w:t>
      </w:r>
      <w:r>
        <w:t xml:space="preserve">Republic of Korea,</w:t>
      </w:r>
      <w:r>
        <w:t xml:space="preserve"> </w:t>
      </w:r>
      <w:r>
        <w:t xml:space="preserve">“Act on the prohibition of discrimination against persons with disabilities and remedy against infringement of their rights, act no. 8341 (2007), latest amendment act no. 10280; esp. Arts. 20–21 (information access),”</w:t>
      </w:r>
      <w:r>
        <w:t xml:space="preserve"> </w:t>
      </w:r>
      <w:r>
        <w:t xml:space="preserve">Korea Legal Research Institute,</w:t>
      </w:r>
      <w:r>
        <w:t xml:space="preserve"> </w:t>
      </w:r>
      <w:hyperlink r:id="rId58">
        <w:r>
          <w:rPr>
            <w:rStyle w:val="Hyperlink"/>
          </w:rPr>
          <w:t xml:space="preserve">https://elaw.klri.re.kr/</w:t>
        </w:r>
      </w:hyperlink>
      <w:r>
        <w:t xml:space="preserve">, 2007.</w:t>
      </w:r>
    </w:p>
    <w:bookmarkEnd w:id="59"/>
    <w:bookmarkStart w:id="60" w:name="ref-hamraie"/>
    <w:p>
      <w:pPr>
        <w:pStyle w:val="Bibliography"/>
      </w:pPr>
      <w:r>
        <w:t xml:space="preserve">[4]</w:t>
      </w:r>
      <w:r>
        <w:t xml:space="preserve"> </w:t>
      </w:r>
      <w:r>
        <w:t xml:space="preserve">	</w:t>
      </w:r>
      <w:r>
        <w:t xml:space="preserve">A. Hamraie,</w:t>
      </w:r>
      <w:r>
        <w:t xml:space="preserve"> </w:t>
      </w:r>
      <w:r>
        <w:rPr>
          <w:i/>
          <w:iCs/>
        </w:rPr>
        <w:t xml:space="preserve">Building access: Universal design and the politics of disability</w:t>
      </w:r>
      <w:r>
        <w:t xml:space="preserve">, University of Minnesota Press, 2017.</w:t>
      </w:r>
    </w:p>
    <w:bookmarkEnd w:id="60"/>
    <w:bookmarkStart w:id="62" w:name="ref-curb_cut"/>
    <w:p>
      <w:pPr>
        <w:pStyle w:val="Bibliography"/>
      </w:pPr>
      <w:r>
        <w:t xml:space="preserve">[5]</w:t>
      </w:r>
      <w:r>
        <w:t xml:space="preserve"> </w:t>
      </w:r>
      <w:r>
        <w:t xml:space="preserve">	</w:t>
      </w:r>
      <w:r>
        <w:t xml:space="preserve">A. G. Blackwell,</w:t>
      </w:r>
      <w:r>
        <w:t xml:space="preserve"> </w:t>
      </w:r>
      <w:r>
        <w:t xml:space="preserve">“The curb-cut effect,”</w:t>
      </w:r>
      <w:r>
        <w:t xml:space="preserve"> </w:t>
      </w:r>
      <w:r>
        <w:rPr>
          <w:i/>
          <w:iCs/>
        </w:rPr>
        <w:t xml:space="preserve">Stanford Social Innovation Review</w:t>
      </w:r>
      <w:r>
        <w:t xml:space="preserve">, vol. 15, no. 1, pp. 28–33, 2017, doi:</w:t>
      </w:r>
      <w:r>
        <w:t xml:space="preserve"> </w:t>
      </w:r>
      <w:hyperlink r:id="rId61">
        <w:r>
          <w:rPr>
            <w:rStyle w:val="Hyperlink"/>
          </w:rPr>
          <w:t xml:space="preserve">10.48558/YVMS-CC96</w:t>
        </w:r>
      </w:hyperlink>
      <w:r>
        <w:t xml:space="preserve">.</w:t>
      </w:r>
    </w:p>
    <w:bookmarkEnd w:id="62"/>
    <w:bookmarkStart w:id="64" w:name="ref-bennett_keyes"/>
    <w:p>
      <w:pPr>
        <w:pStyle w:val="Bibliography"/>
      </w:pPr>
      <w:r>
        <w:t xml:space="preserve">[6]</w:t>
      </w:r>
      <w:r>
        <w:t xml:space="preserve"> </w:t>
      </w:r>
      <w:r>
        <w:t xml:space="preserve">	</w:t>
      </w:r>
      <w:r>
        <w:t xml:space="preserve">C. L. Bennett and O. Keyes,</w:t>
      </w:r>
      <w:r>
        <w:t xml:space="preserve"> </w:t>
      </w:r>
      <w:r>
        <w:t xml:space="preserve">“What is the point of fairness?</w:t>
      </w:r>
      <w:r>
        <w:t xml:space="preserve"> </w:t>
      </w:r>
      <w:r>
        <w:t xml:space="preserve">D</w:t>
      </w:r>
      <w:r>
        <w:t xml:space="preserve">isability,</w:t>
      </w:r>
      <w:r>
        <w:t xml:space="preserve"> </w:t>
      </w:r>
      <w:r>
        <w:t xml:space="preserve">AI</w:t>
      </w:r>
      <w:r>
        <w:t xml:space="preserve"> </w:t>
      </w:r>
      <w:r>
        <w:t xml:space="preserve">and the complexity of justice,”</w:t>
      </w:r>
      <w:r>
        <w:t xml:space="preserve"> </w:t>
      </w:r>
      <w:r>
        <w:rPr>
          <w:i/>
          <w:iCs/>
        </w:rPr>
        <w:t xml:space="preserve">ACM SIGACCESS Accessibility and Computing</w:t>
      </w:r>
      <w:r>
        <w:t xml:space="preserve">, no. 125, pp. Art. 1, 2020, doi:</w:t>
      </w:r>
      <w:r>
        <w:t xml:space="preserve"> </w:t>
      </w:r>
      <w:hyperlink r:id="rId63">
        <w:r>
          <w:rPr>
            <w:rStyle w:val="Hyperlink"/>
          </w:rPr>
          <w:t xml:space="preserve">10.1145/3386296.3386301</w:t>
        </w:r>
      </w:hyperlink>
      <w:r>
        <w:t xml:space="preserve">.</w:t>
      </w:r>
    </w:p>
    <w:bookmarkEnd w:id="64"/>
    <w:bookmarkStart w:id="66" w:name="ref-liblouis"/>
    <w:p>
      <w:pPr>
        <w:pStyle w:val="Bibliography"/>
      </w:pPr>
      <w:r>
        <w:t xml:space="preserve">[7]</w:t>
      </w:r>
      <w:r>
        <w:t xml:space="preserve"> </w:t>
      </w:r>
      <w:r>
        <w:t xml:space="preserve">	</w:t>
      </w:r>
      <w:r>
        <w:t xml:space="preserve">liblouis developers</w:t>
      </w:r>
      <w:r>
        <w:t xml:space="preserve">,</w:t>
      </w:r>
      <w:r>
        <w:t xml:space="preserve"> </w:t>
      </w:r>
      <w:r>
        <w:t xml:space="preserve">“Liblouis –</w:t>
      </w:r>
      <w:r>
        <w:t xml:space="preserve"> </w:t>
      </w:r>
      <w:r>
        <w:t xml:space="preserve">O</w:t>
      </w:r>
      <w:r>
        <w:t xml:space="preserve">pen-source braille translator and back-translator,”</w:t>
      </w:r>
      <w:r>
        <w:t xml:space="preserve"> </w:t>
      </w:r>
      <w:hyperlink r:id="rId65">
        <w:r>
          <w:rPr>
            <w:rStyle w:val="Hyperlink"/>
          </w:rPr>
          <w:t xml:space="preserve">https://github.com/liblouis/liblouis</w:t>
        </w:r>
      </w:hyperlink>
      <w:r>
        <w:t xml:space="preserve">, accessed 2026.</w:t>
      </w:r>
    </w:p>
    <w:bookmarkEnd w:id="66"/>
    <w:bookmarkStart w:id="68" w:name="ref-hangul_braille_converter"/>
    <w:p>
      <w:pPr>
        <w:pStyle w:val="Bibliography"/>
      </w:pPr>
      <w:r>
        <w:t xml:space="preserve">[8]</w:t>
      </w:r>
      <w:r>
        <w:t xml:space="preserve"> </w:t>
      </w:r>
      <w:r>
        <w:t xml:space="preserve">	</w:t>
      </w:r>
      <w:r>
        <w:t xml:space="preserve">hyonzin</w:t>
      </w:r>
      <w:r>
        <w:t xml:space="preserve">,</w:t>
      </w:r>
      <w:r>
        <w:t xml:space="preserve"> </w:t>
      </w:r>
      <w:r>
        <w:t xml:space="preserve">“Hangul-braille-converter:</w:t>
      </w:r>
      <w:r>
        <w:t xml:space="preserve"> </w:t>
      </w:r>
      <w:r>
        <w:t xml:space="preserve">K</w:t>
      </w:r>
      <w:r>
        <w:t xml:space="preserve">orean braille converter in</w:t>
      </w:r>
      <w:r>
        <w:t xml:space="preserve"> </w:t>
      </w:r>
      <w:r>
        <w:t xml:space="preserve">P</w:t>
      </w:r>
      <w:r>
        <w:t xml:space="preserve">ython,”</w:t>
      </w:r>
      <w:r>
        <w:t xml:space="preserve"> </w:t>
      </w:r>
      <w:hyperlink r:id="rId67">
        <w:r>
          <w:rPr>
            <w:rStyle w:val="Hyperlink"/>
          </w:rPr>
          <w:t xml:space="preserve">https://github.com/hyonzin/hangul-braille-converter</w:t>
        </w:r>
      </w:hyperlink>
      <w:r>
        <w:t xml:space="preserve">, accessed 2026.</w:t>
      </w:r>
    </w:p>
    <w:bookmarkEnd w:id="68"/>
    <w:bookmarkStart w:id="70" w:name="ref-hanbraille"/>
    <w:p>
      <w:pPr>
        <w:pStyle w:val="Bibliography"/>
      </w:pPr>
      <w:r>
        <w:t xml:space="preserve">[9]</w:t>
      </w:r>
      <w:r>
        <w:t xml:space="preserve"> </w:t>
      </w:r>
      <w:r>
        <w:t xml:space="preserve">	</w:t>
      </w:r>
      <w:r>
        <w:t xml:space="preserve">delvier</w:t>
      </w:r>
      <w:r>
        <w:t xml:space="preserve">,</w:t>
      </w:r>
      <w:r>
        <w:t xml:space="preserve"> </w:t>
      </w:r>
      <w:r>
        <w:t xml:space="preserve">“Hanbraille:</w:t>
      </w:r>
      <w:r>
        <w:t xml:space="preserve"> </w:t>
      </w:r>
      <w:r>
        <w:t xml:space="preserve">H</w:t>
      </w:r>
      <w:r>
        <w:t xml:space="preserve">angul</w:t>
      </w:r>
      <w:r>
        <w:t xml:space="preserve"> </w:t>
      </w:r>
      <w:r>
        <w:t xml:space="preserve">B</w:t>
      </w:r>
      <w:r>
        <w:t xml:space="preserve">raille</w:t>
      </w:r>
      <w:r>
        <w:t xml:space="preserve"> </w:t>
      </w:r>
      <w:r>
        <w:t xml:space="preserve">C</w:t>
      </w:r>
      <w:r>
        <w:t xml:space="preserve">onverter,”</w:t>
      </w:r>
      <w:r>
        <w:t xml:space="preserve"> </w:t>
      </w:r>
      <w:hyperlink r:id="rId69">
        <w:r>
          <w:rPr>
            <w:rStyle w:val="Hyperlink"/>
          </w:rPr>
          <w:t xml:space="preserve">https://github.com/delvier/hanbraille</w:t>
        </w:r>
      </w:hyperlink>
      <w:r>
        <w:t xml:space="preserve">, accessed 2026.</w:t>
      </w:r>
    </w:p>
    <w:bookmarkEnd w:id="70"/>
    <w:bookmarkStart w:id="71" w:name="ref-ghs"/>
    <w:p>
      <w:pPr>
        <w:pStyle w:val="Bibliography"/>
      </w:pPr>
      <w:r>
        <w:t xml:space="preserve">[10]</w:t>
      </w:r>
      <w:r>
        <w:t xml:space="preserve"> </w:t>
      </w:r>
      <w:r>
        <w:t xml:space="preserve">	</w:t>
      </w:r>
      <w:r>
        <w:t xml:space="preserve">United Nations Economic Commission for Europe,</w:t>
      </w:r>
      <w:r>
        <w:t xml:space="preserve"> </w:t>
      </w:r>
      <w:r>
        <w:rPr>
          <w:i/>
          <w:iCs/>
        </w:rPr>
        <w:t xml:space="preserve">Globally harmonized system of classification and labelling of chemicals (GHS)</w:t>
      </w:r>
      <w:r>
        <w:t xml:space="preserve">, United Nations, 2023.</w:t>
      </w:r>
    </w:p>
    <w:bookmarkEnd w:id="71"/>
    <w:bookmarkStart w:id="72" w:name="ref-eu_braille"/>
    <w:p>
      <w:pPr>
        <w:pStyle w:val="Bibliography"/>
      </w:pPr>
      <w:r>
        <w:t xml:space="preserve">[11]</w:t>
      </w:r>
      <w:r>
        <w:t xml:space="preserve"> </w:t>
      </w:r>
      <w:r>
        <w:t xml:space="preserve">	</w:t>
      </w:r>
      <w:r>
        <w:t xml:space="preserve">European Commission,</w:t>
      </w:r>
      <w:r>
        <w:t xml:space="preserve"> </w:t>
      </w:r>
      <w:r>
        <w:t xml:space="preserve">“Directive 2004/27/EC of the european parliament and of the council of 31 march 2004 amending directive 2001/83/EC on the community code relating to medicinal products for human use, art. 56a,”</w:t>
      </w:r>
      <w:r>
        <w:t xml:space="preserve"> </w:t>
      </w:r>
      <w:r>
        <w:rPr>
          <w:i/>
          <w:iCs/>
        </w:rPr>
        <w:t xml:space="preserve">Official Journal of the European Union</w:t>
      </w:r>
      <w:r>
        <w:t xml:space="preserve">, L 136, pp. 34–57, 30 April 2004, 2004.</w:t>
      </w:r>
    </w:p>
    <w:bookmarkEnd w:id="72"/>
    <w:bookmarkStart w:id="73" w:name="ref-ko_braille_2017"/>
    <w:p>
      <w:pPr>
        <w:pStyle w:val="Bibliography"/>
      </w:pPr>
      <w:r>
        <w:t xml:space="preserve">[12]</w:t>
      </w:r>
      <w:r>
        <w:t xml:space="preserve"> </w:t>
      </w:r>
      <w:r>
        <w:t xml:space="preserve">	</w:t>
      </w:r>
      <w:r>
        <w:t xml:space="preserve">Ministry of Culture, Sports and Tourism,</w:t>
      </w:r>
      <w:r>
        <w:t xml:space="preserve"> </w:t>
      </w:r>
      <w:r>
        <w:t xml:space="preserve">“Korean braille standards (한국 점자 규정), notification no. 2017-15,”</w:t>
      </w:r>
      <w:r>
        <w:t xml:space="preserve"> </w:t>
      </w:r>
      <w:r>
        <w:t xml:space="preserve">Republic of Korea, 2017.</w:t>
      </w:r>
    </w:p>
    <w:bookmarkEnd w:id="73"/>
    <w:bookmarkStart w:id="75" w:name="ref-data_go_kr"/>
    <w:p>
      <w:pPr>
        <w:pStyle w:val="Bibliography"/>
      </w:pPr>
      <w:r>
        <w:t xml:space="preserve">[13]</w:t>
      </w:r>
      <w:r>
        <w:t xml:space="preserve"> </w:t>
      </w:r>
      <w:r>
        <w:t xml:space="preserve">	</w:t>
      </w:r>
      <w:r>
        <w:t xml:space="preserve">Korea Public Data Portal,</w:t>
      </w:r>
      <w:r>
        <w:t xml:space="preserve"> </w:t>
      </w:r>
      <w:r>
        <w:t xml:space="preserve">“KOSHA MSDS open API,”</w:t>
      </w:r>
      <w:r>
        <w:t xml:space="preserve"> </w:t>
      </w:r>
      <w:hyperlink r:id="rId74">
        <w:r>
          <w:rPr>
            <w:rStyle w:val="Hyperlink"/>
          </w:rPr>
          <w:t xml:space="preserve">https://www.data.go.kr/data/15001197/openapi.do</w:t>
        </w:r>
      </w:hyperlink>
      <w:r>
        <w:t xml:space="preserve">, accessed 2026.</w:t>
      </w:r>
    </w:p>
    <w:bookmarkEnd w:id="75"/>
    <w:bookmarkStart w:id="77" w:name="ref-hf_dataset"/>
    <w:p>
      <w:pPr>
        <w:pStyle w:val="Bibliography"/>
      </w:pPr>
      <w:r>
        <w:t xml:space="preserve">[14]</w:t>
      </w:r>
      <w:r>
        <w:t xml:space="preserve"> </w:t>
      </w:r>
      <w:r>
        <w:t xml:space="preserve">	</w:t>
      </w:r>
      <w:r>
        <w:t xml:space="preserve">Y. Kim,</w:t>
      </w:r>
      <w:r>
        <w:t xml:space="preserve"> </w:t>
      </w:r>
      <w:r>
        <w:t xml:space="preserve">“Inconvenience-msds:</w:t>
      </w:r>
      <w:r>
        <w:t xml:space="preserve"> </w:t>
      </w:r>
      <w:r>
        <w:t xml:space="preserve">K</w:t>
      </w:r>
      <w:r>
        <w:t xml:space="preserve">orean</w:t>
      </w:r>
      <w:r>
        <w:t xml:space="preserve"> </w:t>
      </w:r>
      <w:r>
        <w:t xml:space="preserve">C</w:t>
      </w:r>
      <w:r>
        <w:t xml:space="preserve">hemical</w:t>
      </w:r>
      <w:r>
        <w:t xml:space="preserve"> </w:t>
      </w:r>
      <w:r>
        <w:t xml:space="preserve">S</w:t>
      </w:r>
      <w:r>
        <w:t xml:space="preserve">afety</w:t>
      </w:r>
      <w:r>
        <w:t xml:space="preserve"> </w:t>
      </w:r>
      <w:r>
        <w:t xml:space="preserve">MSDS</w:t>
      </w:r>
      <w:r>
        <w:t xml:space="preserve"> </w:t>
      </w:r>
      <w:r>
        <w:t xml:space="preserve">in</w:t>
      </w:r>
      <w:r>
        <w:t xml:space="preserve"> </w:t>
      </w:r>
      <w:r>
        <w:t xml:space="preserve">B</w:t>
      </w:r>
      <w:r>
        <w:t xml:space="preserve">raille,”</w:t>
      </w:r>
      <w:r>
        <w:t xml:space="preserve"> </w:t>
      </w:r>
      <w:r>
        <w:t xml:space="preserve">HuggingFace Datasets,</w:t>
      </w:r>
      <w:r>
        <w:t xml:space="preserve"> </w:t>
      </w:r>
      <w:hyperlink r:id="rId76">
        <w:r>
          <w:rPr>
            <w:rStyle w:val="Hyperlink"/>
          </w:rPr>
          <w:t xml:space="preserve">https://huggingface.co/datasets/Yuyongkim/inconvenience-msds</w:t>
        </w:r>
      </w:hyperlink>
      <w:r>
        <w:t xml:space="preserve">, 2026.</w:t>
      </w:r>
    </w:p>
    <w:bookmarkEnd w:id="77"/>
    <w:bookmarkStart w:id="79" w:name="ref-github_repo"/>
    <w:p>
      <w:pPr>
        <w:pStyle w:val="Bibliography"/>
      </w:pPr>
      <w:r>
        <w:t xml:space="preserve">[15]</w:t>
      </w:r>
      <w:r>
        <w:t xml:space="preserve"> </w:t>
      </w:r>
      <w:r>
        <w:t xml:space="preserve">	</w:t>
      </w:r>
      <w:r>
        <w:t xml:space="preserve">Y. Kim,</w:t>
      </w:r>
      <w:r>
        <w:t xml:space="preserve"> </w:t>
      </w:r>
      <w:r>
        <w:t xml:space="preserve">“Inconvenience-msds source code,”</w:t>
      </w:r>
      <w:r>
        <w:t xml:space="preserve"> </w:t>
      </w:r>
      <w:r>
        <w:t xml:space="preserve">GitHub,</w:t>
      </w:r>
      <w:r>
        <w:t xml:space="preserve"> </w:t>
      </w:r>
      <w:hyperlink r:id="rId78">
        <w:r>
          <w:rPr>
            <w:rStyle w:val="Hyperlink"/>
          </w:rPr>
          <w:t xml:space="preserve">https://github.com/yuyongkim/inconvenience-msds</w:t>
        </w:r>
      </w:hyperlink>
      <w:r>
        <w:t xml:space="preserve">, 2026.</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16" Target="media/rId16.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63" Target="https://doi.org/10.1145/3386296.3386301" TargetMode="External" /><Relationship Type="http://schemas.openxmlformats.org/officeDocument/2006/relationships/hyperlink" Id="rId61" Target="https://doi.org/10.48558/YVMS-CC96" TargetMode="External" /><Relationship Type="http://schemas.openxmlformats.org/officeDocument/2006/relationships/hyperlink" Id="rId58" Target="https://elaw.klri.re.kr/" TargetMode="External" /><Relationship Type="http://schemas.openxmlformats.org/officeDocument/2006/relationships/hyperlink" Id="rId69" Target="https://github.com/delvier/hanbraille" TargetMode="External" /><Relationship Type="http://schemas.openxmlformats.org/officeDocument/2006/relationships/hyperlink" Id="rId67" Target="https://github.com/hyonzin/hangul-braille-converter" TargetMode="External" /><Relationship Type="http://schemas.openxmlformats.org/officeDocument/2006/relationships/hyperlink" Id="rId65" Target="https://github.com/liblouis/liblouis" TargetMode="External" /><Relationship Type="http://schemas.openxmlformats.org/officeDocument/2006/relationships/hyperlink" Id="rId78" Target="https://github.com/yuyongkim/inconvenience-msds" TargetMode="External" /><Relationship Type="http://schemas.openxmlformats.org/officeDocument/2006/relationships/hyperlink" Id="rId76" Target="https://huggingface.co/datasets/Yuyongkim/inconvenience-msds" TargetMode="External" /><Relationship Type="http://schemas.openxmlformats.org/officeDocument/2006/relationships/hyperlink" Id="rId74"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145/3386296.3386301" TargetMode="External" /><Relationship Type="http://schemas.openxmlformats.org/officeDocument/2006/relationships/hyperlink" Id="rId61" Target="https://doi.org/10.48558/YVMS-CC96" TargetMode="External" /><Relationship Type="http://schemas.openxmlformats.org/officeDocument/2006/relationships/hyperlink" Id="rId58" Target="https://elaw.klri.re.kr/" TargetMode="External" /><Relationship Type="http://schemas.openxmlformats.org/officeDocument/2006/relationships/hyperlink" Id="rId69" Target="https://github.com/delvier/hanbraille" TargetMode="External" /><Relationship Type="http://schemas.openxmlformats.org/officeDocument/2006/relationships/hyperlink" Id="rId67" Target="https://github.com/hyonzin/hangul-braille-converter" TargetMode="External" /><Relationship Type="http://schemas.openxmlformats.org/officeDocument/2006/relationships/hyperlink" Id="rId65" Target="https://github.com/liblouis/liblouis" TargetMode="External" /><Relationship Type="http://schemas.openxmlformats.org/officeDocument/2006/relationships/hyperlink" Id="rId78" Target="https://github.com/yuyongkim/inconvenience-msds" TargetMode="External" /><Relationship Type="http://schemas.openxmlformats.org/officeDocument/2006/relationships/hyperlink" Id="rId76" Target="https://huggingface.co/datasets/Yuyongkim/inconvenience-msds" TargetMode="External" /><Relationship Type="http://schemas.openxmlformats.org/officeDocument/2006/relationships/hyperlink" Id="rId74"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한국 화학 안전 정보의 인프라급 접근성</dc:title>
  <dc:creator>김유용</dc:creator>
  <cp:keywords/>
  <dcterms:created xsi:type="dcterms:W3CDTF">2026-07-04T02:03:18Z</dcterms:created>
  <dcterms:modified xsi:type="dcterms:W3CDTF">2026-07-04T02:03:18Z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paper\brief_report\source\refs.bib</vt:lpwstr>
  </property>
  <property fmtid="{D5CDD505-2E9C-101B-9397-08002B2CF9AE}" pid="3" name="csl">
    <vt:lpwstr>paper\brief_report\source\numeric-brackets.csl</vt:lpwstr>
  </property>
  <property fmtid="{D5CDD505-2E9C-101B-9397-08002B2CF9AE}" pid="4" name="reference-section-title">
    <vt:lpwstr>참고문헌</vt:lpwstr>
  </property>
  <property fmtid="{D5CDD505-2E9C-101B-9397-08002B2CF9AE}" pid="5" name="subtitle">
    <vt:lpwstr>Brief Report 최종 한글 보고서</vt:lpwstr>
  </property>
</Properties>
</file>