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7.png" ContentType="image/png"/>
  <Override PartName="/word/media/rId22.png" ContentType="image/png"/>
  <Override PartName="/word/media/rId42.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KOSHA-Braille: 한국 화학 안전 정보의 인프라급 접근성</w:t>
      </w:r>
    </w:p>
    <w:p>
      <w:pPr>
        <w:pStyle w:val="Author"/>
      </w:pPr>
      <w:r>
        <w:t xml:space="preserve">김유용</w:t>
      </w:r>
      <w:r>
        <w:t xml:space="preserve"> </w:t>
      </w:r>
      <w:r>
        <w:rPr>
          <w:rStyle w:val="FootnoteReference"/>
        </w:rPr>
        <w:footnoteReference w:id="9"/>
      </w:r>
      <w:r>
        <w:t xml:space="preserve"> </w:t>
      </w:r>
      <w:r>
        <w:rPr>
          <w:rStyle w:val="FootnoteReference"/>
        </w:rPr>
        <w:footnoteReference w:id="10"/>
      </w:r>
      <w:r>
        <w:t xml:space="preserve"> </w:t>
      </w:r>
      <w:r>
        <w:rPr>
          <w:rStyle w:val="FootnoteReference"/>
        </w:rPr>
        <w:footnoteReference w:id="11"/>
      </w:r>
    </w:p>
    <w:p>
      <w:pPr>
        <w:pStyle w:val="AbstractTitle"/>
      </w:pPr>
      <w:r>
        <w:t xml:space="preserve">Abstract</w:t>
      </w:r>
    </w:p>
    <w:p>
      <w:pPr>
        <w:pStyle w:val="Abstract"/>
      </w:pPr>
      <w:r>
        <w:rPr>
          <w:b/>
          <w:bCs/>
        </w:rPr>
        <w:t xml:space="preserve">목적.</w:t>
      </w:r>
      <w:r>
        <w:t xml:space="preserve"> </w:t>
      </w:r>
      <w:r>
        <w:t xml:space="preserve">한국의 화학 안전 정보는 오직 시각 문서로만 생산되어, 시각장애인이 화학 인접 직역(연구, 규제, 노동 옹호, 공직)에 진입하는 것을 사실상 봉쇄해 왔다. 본 논문은 한국 물질안전보건자료(MSDS) 점자 코퍼스의 구축·검증·공개 릴리스를 보고하며, 이를 사용성(usability) 산출물이 아니라 UN 장애인권리협약 제9조 및 한국 장애인차별금지법 제21조에 근거한 접근성</w:t>
      </w:r>
      <w:r>
        <w:t xml:space="preserve"> </w:t>
      </w:r>
      <w:r>
        <w:rPr>
          <w:i/>
          <w:iCs/>
        </w:rPr>
        <w:t xml:space="preserve">인프라</w:t>
      </w:r>
      <w:r>
        <w:t xml:space="preserve">로 위치 짓는다.</w:t>
      </w:r>
    </w:p>
    <w:p>
      <w:pPr>
        <w:pStyle w:val="Abstract"/>
      </w:pPr>
      <w:r>
        <w:rPr>
          <w:b/>
          <w:bCs/>
        </w:rPr>
        <w:t xml:space="preserve">방법.</w:t>
      </w:r>
      <w:r>
        <w:t xml:space="preserve"> </w:t>
      </w:r>
      <w:r>
        <w:t xml:space="preserve">우리는 2017년 한국 점자 규정을 충실히 구현한 결정론적 한국어 점자 인코더를 설계하고, 이를 공공데이터포털을 통해 접근한 KOSHA MSDS 데이터베이스 전체에 적용하였다. 산출물은 독립적으로 개발된 오픈소스 한국어 점자 변환기와 교차 검증되었다. 코퍼스, 인코더, 디코더, 평가 하네스, 그리고 참조 웹 배포는 모두 오픈 소스로 공개되며, 본 논문의 모든 수치적 주장은 릴리스에 동봉된 검증 스크립트로 재생성된다.</w:t>
      </w:r>
    </w:p>
    <w:p>
      <w:pPr>
        <w:pStyle w:val="Abstract"/>
      </w:pPr>
      <w:r>
        <w:rPr>
          <w:b/>
          <w:bCs/>
        </w:rPr>
        <w:t xml:space="preserve">결과.</w:t>
      </w:r>
      <w:r>
        <w:t xml:space="preserve"> </w:t>
      </w:r>
      <w:r>
        <w:t xml:space="preserve">공개 산출물은 48</w:t>
      </w:r>
      <w:r>
        <w:t xml:space="preserve">,</w:t>
      </w:r>
      <w:r>
        <w:t xml:space="preserve">966종의 화학물질, 769</w:t>
      </w:r>
      <w:r>
        <w:t xml:space="preserve">,</w:t>
      </w:r>
      <w:r>
        <w:t xml:space="preserve">897행의 원본 섹션 데이터베이스(이 중 401</w:t>
      </w:r>
      <w:r>
        <w:t xml:space="preserve">,</w:t>
      </w:r>
      <w:r>
        <w:t xml:space="preserve">272개 섹션이 실질적인 한국어 본문을 보유)를 포괄하며, 총 약 1억 1</w:t>
      </w:r>
      <w:r>
        <w:t xml:space="preserve">,</w:t>
      </w:r>
      <w:r>
        <w:t xml:space="preserve">930만 한국어 문자 및 2억 3</w:t>
      </w:r>
      <w:r>
        <w:t xml:space="preserve">,</w:t>
      </w:r>
      <w:r>
        <w:t xml:space="preserve">230만 점자 셀에 이른다. 인코더는 독립 참조 구현과 442건의 교차 검증 사례에서 100% 일치하였고, 공개 한국어 라운드트립 골든 셋은 45/45로 회복되었다.</w:t>
      </w:r>
    </w:p>
    <w:p>
      <w:pPr>
        <w:pStyle w:val="Abstract"/>
      </w:pPr>
      <w:r>
        <w:rPr>
          <w:b/>
          <w:bCs/>
        </w:rPr>
        <w:t xml:space="preserve">결론.</w:t>
      </w:r>
      <w:r>
        <w:t xml:space="preserve"> </w:t>
      </w:r>
      <w:r>
        <w:t xml:space="preserve">본 연구의 기여는 그간 미공급 상태로 방치되어 온 규제 정보 영역에 대한 인프라급 접근성 릴리스이다. 시각장애 독자를 대상으로 한 읽기 이해 사용자 연구는 필수 후속 작업으로 명시하고 본 제출의 범위에서 의도적으로 분리하였다. 본 논문은 설계·구현·공개 릴리스 연구로 명확히 위치 지어지며, 최종 사용자 평가 연구가 아니다.</w:t>
      </w:r>
    </w:p>
    <w:p>
      <w:pPr>
        <w:pStyle w:val="FirstParagraph"/>
      </w:pPr>
      <w:r>
        <w:t xml:space="preserve">Kim: KOSHA-Braille (Korean)</w:t>
      </w:r>
    </w:p>
    <w:p>
      <w:pPr>
        <w:pStyle w:val="BodyText"/>
      </w:pPr>
      <w:r>
        <w:t xml:space="preserve">접근성 인프라, 점자, 한국 점자, 화학 안전 정보, MSDS 데이터셋, 장애인 권리.</w:t>
      </w:r>
    </w:p>
    <w:bookmarkStart w:id="16" w:name="sec:introduction"/>
    <w:p>
      <w:pPr>
        <w:pStyle w:val="Heading1"/>
      </w:pPr>
      <w:r>
        <w:t xml:space="preserve">서론</w:t>
      </w:r>
    </w:p>
    <w:bookmarkStart w:id="12" w:name="서비스가-아닌-인프라로서의-접근성"/>
    <w:p>
      <w:pPr>
        <w:pStyle w:val="Heading2"/>
      </w:pPr>
      <w:r>
        <w:t xml:space="preserve">서비스가 아닌 인프라로서의 접근성</w:t>
      </w:r>
    </w:p>
    <w:p>
      <w:pPr>
        <w:pStyle w:val="FirstParagraph"/>
      </w:pPr>
      <w:r>
        <w:t xml:space="preserve">공공 접근성 시스템—점자블록, 스크린도어, 방송 음성해설, 국회 진행에 대한 수어 통역—은 한 가지 구조적 속성을 공유한다. 이들의 정당성은 일일 사용량에 좌우되지 않는다. 이들은 인프라이다. 그 기능은 장애인의 참여가</w:t>
      </w:r>
      <w:r>
        <w:t xml:space="preserve"> </w:t>
      </w:r>
      <w:r>
        <w:rPr>
          <w:i/>
          <w:iCs/>
        </w:rPr>
        <w:t xml:space="preserve">비로소 가능해지는 조건</w:t>
      </w:r>
      <w:r>
        <w:t xml:space="preserve"> </w:t>
      </w:r>
      <w:r>
        <w:t xml:space="preserve">자체를 마련하는 데 있다. 이런 시스템을 시장형 수요 지표로 평가하는 것은</w:t>
      </w:r>
      <w:r>
        <w:t xml:space="preserve"> </w:t>
      </w:r>
      <w:r>
        <w:rPr>
          <w:i/>
          <w:iCs/>
        </w:rPr>
        <w:t xml:space="preserve">서비스</w:t>
      </w:r>
      <w:r>
        <w:t xml:space="preserve">(재량적·탄력적)와</w:t>
      </w:r>
      <w:r>
        <w:t xml:space="preserve"> </w:t>
      </w:r>
      <w:r>
        <w:rPr>
          <w:i/>
          <w:iCs/>
        </w:rPr>
        <w:t xml:space="preserve">인프라</w:t>
      </w:r>
      <w:r>
        <w:t xml:space="preserve">(기초적·비탄력적)를 혼동하는 것이며, 발생 빈도는 낮지만 결과가 중대한 접근(low-incidence, high-stakes access)을 체계적으로 과소평가한다.</w:t>
      </w:r>
    </w:p>
    <w:p>
      <w:pPr>
        <w:pStyle w:val="BodyText"/>
      </w:pPr>
      <w:r>
        <w:t xml:space="preserve">본 논문은 이 관점을 격차가 특히 두드러지는 한 영역, 곧 한국 규제 체계 하의 화학 안전 정보에 적용한다. 물질안전보건자료(MSDS, 국제적으로는 SDS)는 유해성 분류, 안전 취급 절차, 비상 조치, 노출 한계 정보를 담은 의무 문서이다</w:t>
      </w:r>
      <w:r>
        <w:t xml:space="preserve"> </w:t>
      </w:r>
      <w:r>
        <w:t xml:space="preserve">. 이는 화학자, 산업위생사, 응급대응 인력, 산업안전감독관, 산업재해 피해자 변호사, 기자, 국회의원, 노동조합 조직가 등이 읽는다. 한국에서 이 문서들은 산업안전보건법</w:t>
      </w:r>
      <w:r>
        <w:t xml:space="preserve"> </w:t>
      </w:r>
      <w:r>
        <w:t xml:space="preserve">에 따라 시각 문서로만 생산되며, 따라서 점자 사용자에게는 접근 불가능한 상태로 남는다.</w:t>
      </w:r>
    </w:p>
    <w:bookmarkEnd w:id="12"/>
    <w:bookmarkStart w:id="13" w:name="자기충족적-배제-문제"/>
    <w:p>
      <w:pPr>
        <w:pStyle w:val="Heading2"/>
      </w:pPr>
      <w:r>
        <w:t xml:space="preserve">자기충족적 배제 문제</w:t>
      </w:r>
    </w:p>
    <w:p>
      <w:pPr>
        <w:pStyle w:val="FirstParagraph"/>
      </w:pPr>
      <w:r>
        <w:t xml:space="preserve">영역 특화 점자 인프라 생산에 대한 가장 흔한 반론은 예상 사용자 수가 적다는 것이다. 한국 화학 안전 영역에 한정하면, 관측되는 시각장애 화학자·화학공학자·화학안전규제자는 사실상 0에 가깝다. 우리는 이 관측이 인프라에 </w:t>
      </w:r>
      <w:r>
        <w:rPr>
          <w:rFonts w:hint="eastAsia"/>
        </w:rPr>
        <w:t xml:space="preserve">반(反)하는</w:t>
      </w:r>
      <w:r>
        <w:t xml:space="preserve"> 증거가 아니라 오히려 인프라에</w:t>
      </w:r>
      <w:r>
        <w:t xml:space="preserve"> </w:t>
      </w:r>
      <w:r>
        <w:rPr>
          <w:i/>
          <w:iCs/>
        </w:rPr>
        <w:t xml:space="preserve">찬성</w:t>
      </w:r>
      <w:r>
        <w:t xml:space="preserve">하는 증거라고 본다. 직역 내 낮은 관측 참여율은 접근 불가능한 직무 정보의 예측 가능한 결과이지, 선호나 능력에 관한 독립적 사실이 아니다.</w:t>
      </w:r>
    </w:p>
    <w:p>
      <w:pPr>
        <w:pStyle w:val="BodyText"/>
      </w:pPr>
      <w:r>
        <w:t xml:space="preserve">화학 인접 영역에서 시각장애인이 인프라가 마련된 곳에서 실제로 참여한 선례는 존재한다. 헨리</w:t>
      </w:r>
      <w:r>
        <w:t xml:space="preserve"> </w:t>
      </w:r>
      <w:r>
        <w:t xml:space="preserve">“호비”</w:t>
      </w:r>
      <w:r>
        <w:t xml:space="preserve"> </w:t>
      </w:r>
      <w:r>
        <w:t xml:space="preserve">웨들러는 2016년 캘리포니아대학교 데이비스 캠퍼스에서 3D 프린팅 분자 모형 보조 장치를 활용해 계산화학 분야 박사학위를 취득하였고, 이후 Accessible Science를 설립하여 시각장애 학생을 위한 화학 교육을 확장하였다</w:t>
      </w:r>
      <w:r>
        <w:t xml:space="preserve"> </w:t>
      </w:r>
      <w:r>
        <w:t xml:space="preserve">. 여러 관할권에서는 시각장애인이 기술 분야 입법 업무를 수행하고</w:t>
      </w:r>
      <w:r>
        <w:t xml:space="preserve"> </w:t>
      </w:r>
      <w:r>
        <w:t xml:space="preserve">, 장애인 권리 단체는 화학 노출 소송과 규제 옹호 활동을 수행해 왔다. 이러한 사례들은 능력과 관심이 존재함을 보여 주며, 한국의 경우 부재한 것은 다름 아닌 읽기 인프라이다.</w:t>
      </w:r>
    </w:p>
    <w:p>
      <w:pPr>
        <w:pStyle w:val="BodyText"/>
      </w:pPr>
      <w:r>
        <w:t xml:space="preserve">상황은 화학자가 아니지만 직무상 MSDS를 반드시 읽어야 하는 2차 독자에 의해 더욱 분명해진다. 산업통상자원부 장관 질의서를 준비하는 보좌진, 산업재해를 기록하는 노동감독관, 직업병 소송을 진행하는 변호사, 화학공장 사고를 조사하는 기자, 반도체 부문 산재를 둘러싼 시민사회 조직가 등이 그렇다. 이들 각각은 시각장애인 참여가 가능한 잠재적 자리이며, 각각이 점자 MSDS 인프라의 부재로 인해</w:t>
      </w:r>
      <w:r>
        <w:t xml:space="preserve"> </w:t>
      </w:r>
      <w:r>
        <w:rPr>
          <w:i/>
          <w:iCs/>
        </w:rPr>
        <w:t xml:space="preserve">침묵 속에</w:t>
      </w:r>
      <w:r>
        <w:t xml:space="preserve"> </w:t>
      </w:r>
      <w:r>
        <w:t xml:space="preserve">봉쇄되어 있다.</w:t>
      </w:r>
    </w:p>
    <w:bookmarkEnd w:id="13"/>
    <w:bookmarkStart w:id="14" w:name="법적규범적-근거"/>
    <w:p>
      <w:pPr>
        <w:pStyle w:val="Heading2"/>
      </w:pPr>
      <w:r>
        <w:t xml:space="preserve">법적·규범적 근거</w:t>
      </w:r>
    </w:p>
    <w:p>
      <w:pPr>
        <w:pStyle w:val="FirstParagraph"/>
      </w:pPr>
      <w:r>
        <w:t xml:space="preserve">두 가지 규범 도구가 의무를 형성한다.</w:t>
      </w:r>
    </w:p>
    <w:p>
      <w:pPr>
        <w:numPr>
          <w:ilvl w:val="0"/>
          <w:numId w:val="1001"/>
        </w:numPr>
      </w:pPr>
      <w:r>
        <w:rPr>
          <w:b/>
          <w:bCs/>
        </w:rPr>
        <w:t xml:space="preserve">UN 장애인권리협약 제9조(접근성)</w:t>
      </w:r>
      <w:r>
        <w:t xml:space="preserve"> </w:t>
      </w:r>
      <w:r>
        <w:t xml:space="preserve">: 당사국은 장애인이 정보 및 의사소통(정보·통신 기술과 시스템 포함)에 다른 사람과 동등하게 접근할 수 있도록 적절한 조치를 취해야 한다. 대한민국은 2008년에 본 협약을 비준하였다.</w:t>
      </w:r>
    </w:p>
    <w:p>
      <w:pPr>
        <w:numPr>
          <w:ilvl w:val="0"/>
          <w:numId w:val="1001"/>
        </w:numPr>
      </w:pPr>
      <w:r>
        <w:rPr>
          <w:b/>
          <w:bCs/>
        </w:rPr>
        <w:t xml:space="preserve">장애인차별금지 및 권리구제 등에 관한 법률 제21조</w:t>
      </w:r>
      <w:r>
        <w:t xml:space="preserve"> </w:t>
      </w:r>
      <w:r>
        <w:t xml:space="preserve">: 공익 정보에 대한 접근 가능한 형식 제공을 의무화한다. 공공기관(KOSHA)이 법령상 의무에 따라 생산하는 화학 안전 정보는 그 범위에 해당한다.</w:t>
      </w:r>
    </w:p>
    <w:p>
      <w:pPr>
        <w:pStyle w:val="FirstParagraph"/>
      </w:pPr>
      <w:r>
        <w:t xml:space="preserve">따라서 화학 안전 점자 서비스의 부재는 중립적인 시장 결과가 아니다. 이미 존재하는 의무의 미이행이다. 본 논문이 다루는 질문은 그러한 인프라가</w:t>
      </w:r>
      <w:r>
        <w:t xml:space="preserve"> </w:t>
      </w:r>
      <w:r>
        <w:rPr>
          <w:i/>
          <w:iCs/>
        </w:rPr>
        <w:t xml:space="preserve">존재해야 하는가</w:t>
      </w:r>
      <w:r>
        <w:t xml:space="preserve">가 아니라, 시연이 아닌 인프라가 될 수 있을 만큼 충분한 규모·충실성·확장성으로</w:t>
      </w:r>
      <w:r>
        <w:t xml:space="preserve"> </w:t>
      </w:r>
      <w:r>
        <w:rPr>
          <w:i/>
          <w:iCs/>
        </w:rPr>
        <w:t xml:space="preserve">어떻게 구축할 것인가</w:t>
      </w:r>
      <w:r>
        <w:t xml:space="preserve">이다.</w:t>
      </w:r>
    </w:p>
    <w:bookmarkEnd w:id="14"/>
    <w:bookmarkStart w:id="15" w:name="기여"/>
    <w:p>
      <w:pPr>
        <w:pStyle w:val="Heading2"/>
      </w:pPr>
      <w:r>
        <w:t xml:space="preserve">기여</w:t>
      </w:r>
    </w:p>
    <w:p>
      <w:pPr>
        <w:pStyle w:val="FirstParagraph"/>
      </w:pPr>
      <w:r>
        <w:t xml:space="preserve">본 논문은 영역 특화 점자 접근성 인프라에 대한</w:t>
      </w:r>
      <w:r>
        <w:t xml:space="preserve"> </w:t>
      </w:r>
      <w:r>
        <w:rPr>
          <w:i/>
          <w:iCs/>
        </w:rPr>
        <w:t xml:space="preserve">설계·구현·공개 릴리스</w:t>
      </w:r>
      <w:r>
        <w:t xml:space="preserve"> </w:t>
      </w:r>
      <w:r>
        <w:t xml:space="preserve">연구로 위치 지어진다. 본 논문은 최종 사용자 읽기 이해 평가가 아니며, 그 연구는 필수 후속 작업으로 명시되고(</w:t>
      </w:r>
      <w:hyperlink w:anchor="sec:discussion">
        <w:r>
          <w:rPr>
            <w:rStyle w:val="Hyperlink"/>
          </w:rPr>
          <w:t xml:space="preserve">8</w:t>
        </w:r>
      </w:hyperlink>
      <w:r>
        <w:t xml:space="preserve">장) 범위 경계가 본문 전반에서 명시적으로 유지된다. 그 범위 안에서 본 논문의 기여는 다음과 같다.</w:t>
      </w:r>
    </w:p>
    <w:p>
      <w:pPr>
        <w:numPr>
          <w:ilvl w:val="0"/>
          <w:numId w:val="1002"/>
        </w:numPr>
      </w:pPr>
      <w:r>
        <w:rPr>
          <w:b/>
          <w:bCs/>
        </w:rPr>
        <w:t xml:space="preserve">프레이밍 기여</w:t>
      </w:r>
      <w:r>
        <w:t xml:space="preserve">: 화학 안전 정보를 인프라급 접근성 대상으로 명시적으로 위치 짓고, 그에 부합하는 평가 기준을 제시한다. 사용 채택량이 아니라 커버리지 동등성, 표준 준수, 결정성, 확장성이 그것이다.</w:t>
      </w:r>
    </w:p>
    <w:p>
      <w:pPr>
        <w:numPr>
          <w:ilvl w:val="0"/>
          <w:numId w:val="1002"/>
        </w:numPr>
      </w:pPr>
      <w:r>
        <w:rPr>
          <w:b/>
          <w:bCs/>
        </w:rPr>
        <w:t xml:space="preserve">KOSHA-Braille 코퍼스</w:t>
      </w:r>
      <w:r>
        <w:t xml:space="preserve">: 769</w:t>
      </w:r>
      <w:r>
        <w:t xml:space="preserve">,</w:t>
      </w:r>
      <w:r>
        <w:t xml:space="preserve">897행의 원본 섹션 데이터베이스에서 도출된 48</w:t>
      </w:r>
      <w:r>
        <w:t xml:space="preserve">,</w:t>
      </w:r>
      <w:r>
        <w:t xml:space="preserve">966종 화학물질의 한국 화학 안전 점자 공개 코퍼스이며, 공개 산출물은 실질 한국어 본문을 보유한 401</w:t>
      </w:r>
      <w:r>
        <w:t xml:space="preserve">,</w:t>
      </w:r>
      <w:r>
        <w:t xml:space="preserve">272개 섹션, 약 1억 1</w:t>
      </w:r>
      <w:r>
        <w:t xml:space="preserve">,</w:t>
      </w:r>
      <w:r>
        <w:t xml:space="preserve">930만 한국어 문자, 2억 3</w:t>
      </w:r>
      <w:r>
        <w:t xml:space="preserve">,</w:t>
      </w:r>
      <w:r>
        <w:t xml:space="preserve">230만 점자 셀로 구성된다. 저자가 아는 한 현재까지 공개된 어떤 종류의 한국어 점자 코퍼스보다 가장 크며, 어떤 언어의 화학 안전 규제 영역에서도 최초이다.</w:t>
      </w:r>
    </w:p>
    <w:p>
      <w:pPr>
        <w:numPr>
          <w:ilvl w:val="0"/>
          <w:numId w:val="1002"/>
        </w:numPr>
      </w:pPr>
      <w:r>
        <w:rPr>
          <w:b/>
          <w:bCs/>
        </w:rPr>
        <w:t xml:space="preserve">표준 준수 결정론적 인코더</w:t>
      </w:r>
      <w:r>
        <w:t xml:space="preserve">: 2017년 한국 점자 규정을 구현한 규칙 기반 한국어 점자 인코더로, 독립 오픈소스 구현과 442건 교차 검증에서 100% 일치하였다.</w:t>
      </w:r>
    </w:p>
    <w:p>
      <w:pPr>
        <w:numPr>
          <w:ilvl w:val="0"/>
          <w:numId w:val="1002"/>
        </w:numPr>
      </w:pPr>
      <w:r>
        <w:rPr>
          <w:b/>
          <w:bCs/>
        </w:rPr>
        <w:t xml:space="preserve">기술 콘텐츠 혼합 표기 처리</w:t>
      </w:r>
      <w:r>
        <w:t xml:space="preserve">: MSDS 특유의 한국어–라틴어–숫자 혼합 표기에 대해 점자 표시 부호(로마자 표시, 수표, 대문자 표시)를 규칙 일관성 있게 처리하며, GHS 픽토그램 코드를 시각 참조가 아니라 의미 참조가 되도록 서술적 한국어 본문으로 해소한다.</w:t>
      </w:r>
    </w:p>
    <w:p>
      <w:pPr>
        <w:numPr>
          <w:ilvl w:val="0"/>
          <w:numId w:val="1002"/>
        </w:numPr>
      </w:pPr>
      <w:r>
        <w:rPr>
          <w:b/>
          <w:bCs/>
        </w:rPr>
        <w:t xml:space="preserve">참조 배포</w:t>
      </w:r>
      <w:r>
        <w:t xml:space="preserve">: 검색, 실시간 변환, 그리고 점자 프린터용 BRF와 점자 디스플레이용 유니코드 형식의 파일 다운로드를 제공하는 공개 웹 서비스이다.</w:t>
      </w:r>
    </w:p>
    <w:p>
      <w:pPr>
        <w:numPr>
          <w:ilvl w:val="0"/>
          <w:numId w:val="1002"/>
        </w:numPr>
      </w:pPr>
      <w:r>
        <w:rPr>
          <w:b/>
          <w:bCs/>
        </w:rPr>
        <w:t xml:space="preserve">확장성 분석</w:t>
      </w:r>
      <w:r>
        <w:t xml:space="preserve">(</w:t>
      </w:r>
      <w:hyperlink w:anchor="sec:extensibility">
        <w:r>
          <w:rPr>
            <w:rStyle w:val="Hyperlink"/>
          </w:rPr>
          <w:t xml:space="preserve">7</w:t>
        </w:r>
      </w:hyperlink>
      <w:r>
        <w:t xml:space="preserve">장): 본 시스템을 인접 고위험 접근성 영역(의약품 표시, 식품 알레르겐, 응급조치 프로토콜, 화학물질 등록 신고)과 다른 언어·규제 체계로의 적용 가능한 템플릿으로 만드는 아키텍처 속성에 대한 명시적 논의를 제시한다.</w:t>
      </w:r>
    </w:p>
    <w:bookmarkEnd w:id="15"/>
    <w:bookmarkEnd w:id="16"/>
    <w:bookmarkStart w:id="21" w:name="sec:related"/>
    <w:p>
      <w:pPr>
        <w:pStyle w:val="Heading1"/>
      </w:pPr>
      <w:r>
        <w:t xml:space="preserve">관련 연구</w:t>
      </w:r>
    </w:p>
    <w:bookmarkStart w:id="17" w:name="접근성-인프라"/>
    <w:p>
      <w:pPr>
        <w:pStyle w:val="Heading2"/>
      </w:pPr>
      <w:r>
        <w:t xml:space="preserve">접근성 인프라</w:t>
      </w:r>
    </w:p>
    <w:p>
      <w:pPr>
        <w:pStyle w:val="FirstParagraph"/>
      </w:pPr>
      <w:r>
        <w:t xml:space="preserve">정책·디자인 문헌은 개별 요청에 응답하는</w:t>
      </w:r>
      <w:r>
        <w:t xml:space="preserve"> </w:t>
      </w:r>
      <w:r>
        <w:rPr>
          <w:i/>
          <w:iCs/>
        </w:rPr>
        <w:t xml:space="preserve">보조 서비스</w:t>
      </w:r>
      <w:r>
        <w:t xml:space="preserve">(assistive services)와 접근 조건을 선제적으로 설치하는</w:t>
      </w:r>
      <w:r>
        <w:t xml:space="preserve"> </w:t>
      </w:r>
      <w:r>
        <w:rPr>
          <w:i/>
          <w:iCs/>
        </w:rPr>
        <w:t xml:space="preserve">접근성 인프라</w:t>
      </w:r>
      <w:r>
        <w:t xml:space="preserve">(accessibility infrastructure)를 구분한다. 햄레이(Hamraie)의 보편 설계(universal design)사 연구</w:t>
      </w:r>
      <w:r>
        <w:t xml:space="preserve"> </w:t>
      </w:r>
      <w:r>
        <w:t xml:space="preserve">는 접근성 조치가 본래 표적 장애 개입으로 출발하였으나 점차 건조 환경의 기초적 특성으로 인정되어 온 과정을 기록한다. 블랙웰(Blackwell)이 정식화한</w:t>
      </w:r>
      <w:r>
        <w:t xml:space="preserve"> </w:t>
      </w:r>
      <w:r>
        <w:t xml:space="preserve">“경계석 절단 효과”</w:t>
      </w:r>
      <w:r>
        <w:t xml:space="preserve">(curb-cut effect)</w:t>
      </w:r>
      <w:r>
        <w:t xml:space="preserve"> </w:t>
      </w:r>
      <w:r>
        <w:t xml:space="preserve">는 그 패턴을 일반화한다. 즉 본래 소외 집단을 위해 설계된 변화가 결과적으로 더 넓은 이익을 산출하지만, 그러한 이익은 본래 개입이 입증된 수요에</w:t>
      </w:r>
      <w:r>
        <w:t xml:space="preserve"> </w:t>
      </w:r>
      <w:r>
        <w:rPr>
          <w:i/>
          <w:iCs/>
        </w:rPr>
        <w:t xml:space="preserve">앞서</w:t>
      </w:r>
      <w:r>
        <w:t xml:space="preserve"> </w:t>
      </w:r>
      <w:r>
        <w:t xml:space="preserve">구축된 후에야 나타난다. 베넷과 키스(Bennett &amp; Keyes)</w:t>
      </w:r>
      <w:r>
        <w:t xml:space="preserve"> </w:t>
      </w:r>
      <w:r>
        <w:t xml:space="preserve">는 한 발 더 나아가, 장애 관련 기술 개입을 한계</w:t>
      </w:r>
      <w:r>
        <w:t xml:space="preserve"> </w:t>
      </w:r>
      <w:r>
        <w:t xml:space="preserve">“공정성”</w:t>
      </w:r>
      <w:r>
        <w:t xml:space="preserve">(fairness) 계산의 틀로 보는 접근이 구조적 정의(structural justice) 차원을 체계적으로 놓친다고 주장한다. 적절한 틀은</w:t>
      </w:r>
      <w:r>
        <w:t xml:space="preserve"> </w:t>
      </w:r>
      <w:r>
        <w:t xml:space="preserve">“참여를 위한 구조적 조건이 애초에 존재하는가”</w:t>
      </w:r>
      <w:r>
        <w:t xml:space="preserve">이다.</w:t>
      </w:r>
    </w:p>
    <w:p>
      <w:pPr>
        <w:pStyle w:val="BodyText"/>
      </w:pPr>
      <w:r>
        <w:t xml:space="preserve">본 연구는 기술·규제 정보를 위한 영역 특화 점자 코퍼스를 접근성 인프라의 한 범주로 위치 지으며, 이 범주가 영어권 바깥에서 특히 체계적으로 과소 생산되어 왔음을 지적한다. 표준 사례—자막 시스템, 공공도서관 점자 장서, 음성해설, 국회 의사 진행 수어 통역—는 측정된 수요에 앞서 생산되며, 한계 효용 계산이 아니라 권리 기반 근거에 의해 정당화된다. 접근성 연구 내부적으로는 본 연구와 가장 관련 있는 관점이 세 가지이다. 첫째, 접근의 부재를 사용자의 속성이 아닌 산출물의 속성으로 보는</w:t>
      </w:r>
      <w:r>
        <w:t xml:space="preserve"> </w:t>
      </w:r>
      <w:r>
        <w:rPr>
          <w:i/>
          <w:iCs/>
        </w:rPr>
        <w:t xml:space="preserve">능력 기반 설계</w:t>
      </w:r>
      <w:r>
        <w:t xml:space="preserve">(ability-based design)와</w:t>
      </w:r>
      <w:r>
        <w:t xml:space="preserve"> </w:t>
      </w:r>
      <w:r>
        <w:rPr>
          <w:i/>
          <w:iCs/>
        </w:rPr>
        <w:t xml:space="preserve">보편적 사용성</w:t>
      </w:r>
      <w:r>
        <w:t xml:space="preserve">(universal usability). 둘째, 기술 콘텐츠(수학, 화학 도식)가 단지 스크린리더 대체가 아니라 일급 점자·촉각 그래픽 표현을 받을 자격이 있다는 선례를 확립한</w:t>
      </w:r>
      <w:r>
        <w:t xml:space="preserve"> </w:t>
      </w:r>
      <w:r>
        <w:rPr>
          <w:i/>
          <w:iCs/>
        </w:rPr>
        <w:t xml:space="preserve">접근 가능한 STEM</w:t>
      </w:r>
      <w:r>
        <w:t xml:space="preserve">(accessible STEM)과 촉각 표상 문헌. 셋째, 접근성 제공의 한계 효용 프레이밍에 대한</w:t>
      </w:r>
      <w:r>
        <w:t xml:space="preserve"> </w:t>
      </w:r>
      <w:r>
        <w:rPr>
          <w:i/>
          <w:iCs/>
        </w:rPr>
        <w:t xml:space="preserve">장애 정의</w:t>
      </w:r>
      <w:r>
        <w:t xml:space="preserve">(disability justice)의 비판이다. KOSHA-Braille는 이 계보를 화학 안전 규제 문서에까지 확장하며, 이는 영어로도, 비영어권에서도 일급 점자 인프라가 보고된 바 없는 영역이다.</w:t>
      </w:r>
    </w:p>
    <w:bookmarkEnd w:id="17"/>
    <w:bookmarkStart w:id="18" w:name="점자-변환-시스템과-기술-문서-점자"/>
    <w:p>
      <w:pPr>
        <w:pStyle w:val="Heading2"/>
      </w:pPr>
      <w:r>
        <w:t xml:space="preserve">점자 변환 시스템과 기술 문서 점자</w:t>
      </w:r>
    </w:p>
    <w:p>
      <w:pPr>
        <w:pStyle w:val="FirstParagraph"/>
      </w:pPr>
      <w:r>
        <w:t xml:space="preserve">점자 변환은 영어 영역에서 100여 개 언어를 지원하는 오픈소스 변환기 liblouis를 통해 가장 광범위하게 연구되어 왔다</w:t>
      </w:r>
      <w:r>
        <w:t xml:space="preserve"> </w:t>
      </w:r>
      <w:r>
        <w:t xml:space="preserve">. 한국어의 경우 liblouis는 2006년 규정을 기준으로 한 1·2종 점자 테이블을 제공하며, 소수의 오픈소스 프로젝트가 2017년 개정을 구현하고 있다</w:t>
      </w:r>
      <w:r>
        <w:t xml:space="preserve"> </w:t>
      </w:r>
      <w:r>
        <w:t xml:space="preserve">. 이들 도구는 문자 단위 변환기이며, 규제 코드의 일관 처리, 안전 본문 내 과학적 표기, 대규모 코퍼스 구축과 같은 영역 단위 관심사를 다루지 않는다.</w:t>
      </w:r>
    </w:p>
    <w:p>
      <w:pPr>
        <w:pStyle w:val="BodyText"/>
      </w:pPr>
      <w:r>
        <w:t xml:space="preserve">문자 단위 변환을 넘어,</w:t>
      </w:r>
      <w:r>
        <w:t xml:space="preserve"> </w:t>
      </w:r>
      <w:r>
        <w:rPr>
          <w:i/>
          <w:iCs/>
        </w:rPr>
        <w:t xml:space="preserve">기술 문서 점자 읽기</w:t>
      </w:r>
      <w:r>
        <w:t xml:space="preserve">에 관한 기존 연구는 주로 수학과 STEM 교육에 집중되어 왔다. 수학 표기에 관한 네메스(Nemeth) 코드와 통합 영어 점자(UEB), MathML–점자 변환 파이프라인 등이 그 예이며, 도식에 대한 촉각 그래픽 지원도 같은 흐름에 속한다. 그러나 대규모</w:t>
      </w:r>
      <w:r>
        <w:t xml:space="preserve"> </w:t>
      </w:r>
      <w:r>
        <w:rPr>
          <w:i/>
          <w:iCs/>
        </w:rPr>
        <w:t xml:space="preserve">규제</w:t>
      </w:r>
      <w:r>
        <w:t xml:space="preserve"> </w:t>
      </w:r>
      <w:r>
        <w:t xml:space="preserve">문서(법령, 안전 문서, 행정 결정)를 그 자체로 점자 변환 대상으로 다룬 연구는 상대적으로 드물다. 이러한 문서에 대한 기존 접근성 조치는 일급 점자가 아니라 PDF/HTML 접근성(스크린리더 친화성) 수준에 머무는 경우가 일반적이다. 본 연구는 한국 MSDS를 수학 점자의 규제 분야 대응물로 위치 짓는다. 이는 곧, 즉석 변환 없이 점자 디스플레이나 점자 프린터에서 소비할 수 있는 결정론적·표준 준수·대규모 커버리지 점자 표현을 그 독자들이 필요로 하는 영역이다.</w:t>
      </w:r>
    </w:p>
    <w:bookmarkEnd w:id="18"/>
    <w:bookmarkStart w:id="19" w:name="화학-안전-정보-접근성"/>
    <w:p>
      <w:pPr>
        <w:pStyle w:val="Heading2"/>
      </w:pPr>
      <w:r>
        <w:t xml:space="preserve">화학 안전 정보 접근성</w:t>
      </w:r>
    </w:p>
    <w:p>
      <w:pPr>
        <w:pStyle w:val="FirstParagraph"/>
      </w:pPr>
      <w:r>
        <w:t xml:space="preserve">세계 조화 시스템(GHS)</w:t>
      </w:r>
      <w:r>
        <w:t xml:space="preserve"> </w:t>
      </w:r>
      <w:r>
        <w:t xml:space="preserve">은 시각적 유해성 의사소통을 표준화하지만 점자 대응을 명시하지 않는다. 유럽연합은 의약품 포장에 점자를 의무화하고 있으나</w:t>
      </w:r>
      <w:r>
        <w:t xml:space="preserve"> </w:t>
      </w:r>
      <w:r>
        <w:t xml:space="preserve">, 이는 화학 인접 영역에서 규제된 점자의 가장 좁은 선례로서 제품명에만 적용되며 안전 문서에는 적용되지 않는다. 본 연구가 아는 한, 어떤 언어에서도 점자 SDS/MSDS에 관한 선행 연구는 보고된 바 없다.</w:t>
      </w:r>
    </w:p>
    <w:bookmarkEnd w:id="19"/>
    <w:bookmarkStart w:id="20" w:name="한국-점자-규정"/>
    <w:p>
      <w:pPr>
        <w:pStyle w:val="Heading2"/>
      </w:pPr>
      <w:r>
        <w:t xml:space="preserve">한국 점자 규정</w:t>
      </w:r>
    </w:p>
    <w:p>
      <w:pPr>
        <w:pStyle w:val="FirstParagraph"/>
      </w:pPr>
      <w:r>
        <w:t xml:space="preserve">2017년 한국 점자 규정</w:t>
      </w:r>
      <w:r>
        <w:t xml:space="preserve"> </w:t>
      </w:r>
      <w:r>
        <w:t xml:space="preserve">은 문화체육관광부 고시로 공포되었다. 한국 점자는 음절 구조이다. 즉 각 한글 음절은 초성, 중성, 그리고 선택적 종성으로 분해되며, 각 구성 요소는 고정된 점형에 대응한다. 2017년 개정은 과학 표기와 음악 표기를 포함한 6개 영역으로 적용 범위를 확장하였다.</w:t>
      </w:r>
    </w:p>
    <w:bookmarkEnd w:id="20"/>
    <w:bookmarkEnd w:id="21"/>
    <w:bookmarkStart w:id="35" w:name="sec:system"/>
    <w:p>
      <w:pPr>
        <w:pStyle w:val="Heading1"/>
      </w:pPr>
      <w:r>
        <w:t xml:space="preserve">시스템 구조</w:t>
      </w:r>
    </w:p>
    <w:bookmarkStart w:id="26" w:name="데이터-파이프라인"/>
    <w:p>
      <w:pPr>
        <w:pStyle w:val="Heading2"/>
      </w:pPr>
      <w:r>
        <w:t xml:space="preserve">데이터 파이프라인</w:t>
      </w:r>
    </w:p>
    <w:p>
      <w:pPr>
        <w:pStyle w:val="FirstParagraph"/>
      </w:pPr>
      <w:r>
        <w:t xml:space="preserve">본 시스템은</w:t>
      </w:r>
      <w:r>
        <w:t xml:space="preserve"> </w:t>
      </w:r>
      <w:hyperlink w:anchor="fig:pipeline">
        <w:r>
          <w:rPr>
            <w:rStyle w:val="Hyperlink"/>
          </w:rPr>
          <w:t xml:space="preserve">1</w:t>
        </w:r>
      </w:hyperlink>
      <w:r>
        <w:t xml:space="preserve">그림에 도시된 바와 같이 데이터 획득, 추출, 인코딩, 전달의 4단계로 구성된다.</w:t>
      </w:r>
    </w:p>
    <w:bookmarkStart w:id="25" w:name="fig:pipeline"/>
    <w:p>
      <w:pPr>
        <w:pStyle w:val="CaptionedFigure"/>
      </w:pPr>
      <w:r>
        <w:drawing>
          <wp:inline>
            <wp:extent cx="5334000" cy="1062279"/>
            <wp:effectExtent b="0" l="0" r="0" t="0"/>
            <wp:docPr descr="" title="" id="23" name="Picture"/>
            <a:graphic>
              <a:graphicData uri="http://schemas.openxmlformats.org/drawingml/2006/picture">
                <pic:pic>
                  <pic:nvPicPr>
                    <pic:cNvPr descr="fig_pipeline.png" id="24" name="Picture"/>
                    <pic:cNvPicPr>
                      <a:picLocks noChangeArrowheads="1" noChangeAspect="1"/>
                    </pic:cNvPicPr>
                  </pic:nvPicPr>
                  <pic:blipFill>
                    <a:blip r:embed="rId22"/>
                    <a:stretch>
                      <a:fillRect/>
                    </a:stretch>
                  </pic:blipFill>
                  <pic:spPr bwMode="auto">
                    <a:xfrm>
                      <a:off x="0" y="0"/>
                      <a:ext cx="5334000" cy="1062279"/>
                    </a:xfrm>
                    <a:prstGeom prst="rect">
                      <a:avLst/>
                    </a:prstGeom>
                    <a:noFill/>
                    <a:ln w="9525">
                      <a:noFill/>
                      <a:headEnd/>
                      <a:tailEnd/>
                    </a:ln>
                  </pic:spPr>
                </pic:pic>
              </a:graphicData>
            </a:graphic>
          </wp:inline>
        </w:drawing>
      </w:r>
    </w:p>
    <w:p>
      <w:pPr>
        <w:pStyle w:val="ImageCaption"/>
      </w:pPr>
      <w:r>
        <w:t xml:space="preserve">KOSHA-Braille 시스템 구조. MSDS 데이터를 KOSHA 공개 API로부터 수집하여 GHS 픽토그램 변환을 포함한 파싱·정제를 거쳐 2017년 한국 점자 규정에 따라 점자로 인코딩하고, 웹 인터페이스를 통해 제공한다.</w:t>
      </w:r>
    </w:p>
    <w:bookmarkEnd w:id="25"/>
    <w:p>
      <w:pPr>
        <w:numPr>
          <w:ilvl w:val="0"/>
          <w:numId w:val="1003"/>
        </w:numPr>
      </w:pPr>
      <w:r>
        <w:rPr>
          <w:b/>
          <w:bCs/>
        </w:rPr>
        <w:t xml:space="preserve">데이터 획득</w:t>
      </w:r>
      <w:r>
        <w:t xml:space="preserve">: KOSHA MSDS 데이터를 공공데이터포털 REST API</w:t>
      </w:r>
      <w:r>
        <w:t xml:space="preserve"> </w:t>
      </w:r>
      <w:r>
        <w:t xml:space="preserve">로부터 받으며, 화학물질별로 표준화된 16개 MSDS 섹션을 XML 형식으로 제공한다.</w:t>
      </w:r>
    </w:p>
    <w:p>
      <w:pPr>
        <w:numPr>
          <w:ilvl w:val="0"/>
          <w:numId w:val="1003"/>
        </w:numPr>
      </w:pPr>
      <w:r>
        <w:rPr>
          <w:b/>
          <w:bCs/>
        </w:rPr>
        <w:t xml:space="preserve">본문 추출</w:t>
      </w:r>
      <w:r>
        <w:t xml:space="preserve">: XML 응답에서 한국어 본문을 파싱한다. GHS 픽토그램 참조(예:</w:t>
      </w:r>
      <w:r>
        <w:t xml:space="preserve"> </w:t>
      </w:r>
      <w:r>
        <w:t xml:space="preserve">“GHS06.gif”</w:t>
      </w:r>
      <w:r>
        <w:t xml:space="preserve">)는 서술적 한국어 본문(예:</w:t>
      </w:r>
      <w:r>
        <w:t xml:space="preserve"> </w:t>
      </w:r>
      <w:r>
        <w:t xml:space="preserve">“</w:t>
      </w:r>
      <w:r>
        <w:t xml:space="preserve">급성독성</w:t>
      </w:r>
      <w:r>
        <w:t xml:space="preserve">”</w:t>
      </w:r>
      <w:r>
        <w:t xml:space="preserve">)으로 해소하여, 점자 출력이 읽을 수 없는 파일명이 아니라 의미 있는 유해성 정보를 전달하도록 한다.</w:t>
      </w:r>
    </w:p>
    <w:p>
      <w:pPr>
        <w:numPr>
          <w:ilvl w:val="0"/>
          <w:numId w:val="1003"/>
        </w:numPr>
      </w:pPr>
      <w:r>
        <w:rPr>
          <w:b/>
          <w:bCs/>
        </w:rPr>
        <w:t xml:space="preserve">점자 인코딩</w:t>
      </w:r>
      <w:r>
        <w:t xml:space="preserve">: 한국어 본문을 2017년 한국 점자 규정에 따라 유니코드 점자(U+2800–U+28FF)로 변환한다.</w:t>
      </w:r>
    </w:p>
    <w:p>
      <w:pPr>
        <w:numPr>
          <w:ilvl w:val="0"/>
          <w:numId w:val="1003"/>
        </w:numPr>
      </w:pPr>
      <w:r>
        <w:rPr>
          <w:b/>
          <w:bCs/>
        </w:rPr>
        <w:t xml:space="preserve">전달</w:t>
      </w:r>
      <w:r>
        <w:t xml:space="preserve">: FastAPI 백엔드가 인코딩된 콘텐츠를 REST API로 제공하며, 참조 단일 페이지 프런트엔드는 검색과 시각/점자 병렬 보기를 제공한다. 다운로드는 점자 프린터용 BRF와 유니코드</w:t>
      </w:r>
      <w:r>
        <w:t xml:space="preserve"> </w:t>
      </w:r>
      <w:r>
        <w:rPr>
          <w:rStyle w:val="VerbatimChar"/>
        </w:rPr>
        <w:t xml:space="preserve">.txt</w:t>
      </w:r>
      <w:r>
        <w:t xml:space="preserve"> </w:t>
      </w:r>
      <w:r>
        <w:t xml:space="preserve">형식으로 지원된다.</w:t>
      </w:r>
    </w:p>
    <w:bookmarkEnd w:id="26"/>
    <w:bookmarkStart w:id="34" w:name="한국-점자-인코딩"/>
    <w:p>
      <w:pPr>
        <w:pStyle w:val="Heading2"/>
      </w:pPr>
      <w:r>
        <w:t xml:space="preserve">한국 점자 인코딩</w:t>
      </w:r>
    </w:p>
    <w:p>
      <w:pPr>
        <w:pStyle w:val="FirstParagraph"/>
      </w:pPr>
      <w:r>
        <w:t xml:space="preserve">인코딩 과정은 결정론적이며 손실이 없다. 각 한글 음절은 유니코드 산술 연산으로 초성, 중성, 종성으로 분해되며, 각각이 고정된 점형에 대응한다.</w:t>
      </w:r>
    </w:p>
    <w:p>
      <w:pPr>
        <w:pStyle w:val="BodyText"/>
      </w:pPr>
      <w:r>
        <w:t xml:space="preserve">인코더는 다음 네 가지 문자 유형을 적절한 점자 표시 부호와 함께 처리한다.</w:t>
      </w:r>
    </w:p>
    <w:p>
      <w:pPr>
        <w:numPr>
          <w:ilvl w:val="0"/>
          <w:numId w:val="1004"/>
        </w:numPr>
      </w:pPr>
      <w:r>
        <w:rPr>
          <w:b/>
          <w:bCs/>
        </w:rPr>
        <w:t xml:space="preserve">한글</w:t>
      </w:r>
      <w:r>
        <w:t xml:space="preserve">: 점자 점형으로 직접 분해(별도 부호 불필요).</w:t>
      </w:r>
    </w:p>
    <w:p>
      <w:pPr>
        <w:numPr>
          <w:ilvl w:val="0"/>
          <w:numId w:val="1004"/>
        </w:numPr>
      </w:pPr>
      <w:r>
        <w:rPr>
          <w:b/>
          <w:bCs/>
        </w:rPr>
        <w:t xml:space="preserve">숫자</w:t>
      </w:r>
      <w:r>
        <w:t xml:space="preserve">: 수표(점 3-4-5-6) 뒤에 숫자 점형 표기.</w:t>
      </w:r>
    </w:p>
    <w:p>
      <w:pPr>
        <w:numPr>
          <w:ilvl w:val="0"/>
          <w:numId w:val="1004"/>
        </w:numPr>
      </w:pPr>
      <w:r>
        <w:rPr>
          <w:b/>
          <w:bCs/>
        </w:rPr>
        <w:t xml:space="preserve">로마자</w:t>
      </w:r>
      <w:r>
        <w:t xml:space="preserve">: 로마자 표시(점 3-5-6) 뒤에 알파벳 점형, 대문자에는 대문자 표시(점 6) 추가.</w:t>
      </w:r>
    </w:p>
    <w:p>
      <w:pPr>
        <w:numPr>
          <w:ilvl w:val="0"/>
          <w:numId w:val="1004"/>
        </w:numPr>
      </w:pPr>
      <w:r>
        <w:rPr>
          <w:b/>
          <w:bCs/>
        </w:rPr>
        <w:t xml:space="preserve">문장 부호</w:t>
      </w:r>
      <w:r>
        <w:t xml:space="preserve">: 한국 점자 문장 부호 패턴으로 직접 매핑.</w:t>
      </w:r>
    </w:p>
    <w:p>
      <w:pPr>
        <w:pStyle w:val="FirstParagraph"/>
      </w:pPr>
      <w:r>
        <w:t xml:space="preserve">된소리(겹자음)는 점 6 접두 셀 다음에 본 자음 점형을 배치한다. 복모음과 복종성은 다중 셀 시퀀스를 사용한다.</w:t>
      </w:r>
    </w:p>
    <w:p>
      <w:pPr>
        <w:pStyle w:val="BodyText"/>
      </w:pPr>
      <w:hyperlink w:anchor="tab:cho">
        <w:r>
          <w:rPr>
            <w:rStyle w:val="Hyperlink"/>
          </w:rPr>
          <w:t xml:space="preserve">1</w:t>
        </w:r>
      </w:hyperlink>
      <w:r>
        <w:t xml:space="preserve">,</w:t>
      </w:r>
      <w:r>
        <w:t xml:space="preserve"> </w:t>
      </w:r>
      <w:hyperlink w:anchor="tab:jung">
        <w:r>
          <w:rPr>
            <w:rStyle w:val="Hyperlink"/>
          </w:rPr>
          <w:t xml:space="preserve">2</w:t>
        </w:r>
      </w:hyperlink>
      <w:r>
        <w:t xml:space="preserve">,</w:t>
      </w:r>
      <w:r>
        <w:t xml:space="preserve"> </w:t>
      </w:r>
      <w:hyperlink w:anchor="tab:jong">
        <w:r>
          <w:rPr>
            <w:rStyle w:val="Hyperlink"/>
          </w:rPr>
          <w:t xml:space="preserve">3</w:t>
        </w:r>
      </w:hyperlink>
      <w:r>
        <w:t xml:space="preserve">표는 각각 초성, 중성, 종성의 전체 대응을 보여 준다.</w:t>
      </w:r>
      <w:r>
        <w:t xml:space="preserve"> </w:t>
      </w:r>
      <w:hyperlink w:anchor="fig:encoding_example">
        <w:r>
          <w:rPr>
            <w:rStyle w:val="Hyperlink"/>
          </w:rPr>
          <w:t xml:space="preserve">2</w:t>
        </w:r>
      </w:hyperlink>
      <w:r>
        <w:t xml:space="preserve">그림은 두 가지 대표 MSDS 토큰(</w:t>
      </w:r>
      <w:r>
        <w:t xml:space="preserve">“메탄올”</w:t>
      </w:r>
      <w:r>
        <w:t xml:space="preserve">,</w:t>
      </w:r>
      <w:r>
        <w:t xml:space="preserve"> </w:t>
      </w:r>
      <w:r>
        <w:t xml:space="preserve">“인화성”</w:t>
      </w:r>
      <w:r>
        <w:t xml:space="preserve">)에 대한 전체 변환 경로를 예시한다.</w:t>
      </w:r>
    </w:p>
    <w:bookmarkStart w:id="30" w:name="fig:encoding_example"/>
    <w:p>
      <w:pPr>
        <w:pStyle w:val="CaptionedFigure"/>
      </w:pPr>
      <w:r>
        <w:drawing>
          <wp:inline>
            <wp:extent cx="5334000" cy="2396222"/>
            <wp:effectExtent b="0" l="0" r="0" t="0"/>
            <wp:docPr descr="" title="" id="28" name="Picture"/>
            <a:graphic>
              <a:graphicData uri="http://schemas.openxmlformats.org/drawingml/2006/picture">
                <pic:pic>
                  <pic:nvPicPr>
                    <pic:cNvPr descr="fig_encoding_example_ko.png" id="29" name="Picture"/>
                    <pic:cNvPicPr>
                      <a:picLocks noChangeArrowheads="1" noChangeAspect="1"/>
                    </pic:cNvPicPr>
                  </pic:nvPicPr>
                  <pic:blipFill>
                    <a:blip r:embed="rId27"/>
                    <a:stretch>
                      <a:fillRect/>
                    </a:stretch>
                  </pic:blipFill>
                  <pic:spPr bwMode="auto">
                    <a:xfrm>
                      <a:off x="0" y="0"/>
                      <a:ext cx="5334000" cy="2396222"/>
                    </a:xfrm>
                    <a:prstGeom prst="rect">
                      <a:avLst/>
                    </a:prstGeom>
                    <a:noFill/>
                    <a:ln w="9525">
                      <a:noFill/>
                      <a:headEnd/>
                      <a:tailEnd/>
                    </a:ln>
                  </pic:spPr>
                </pic:pic>
              </a:graphicData>
            </a:graphic>
          </wp:inline>
        </w:drawing>
      </w:r>
    </w:p>
    <w:p>
      <w:pPr>
        <w:pStyle w:val="ImageCaption"/>
      </w:pPr>
      <w:r>
        <w:t xml:space="preserve">인코딩 예시: 각 한글 음절은 초성·중성·종성 자모(파랑)로 분해되고, 각 자모는 하나의 한국 점자 셀로 출력된다. 빈 원은 2</w:t>
      </w:r>
      <m:oMath>
        <m:r>
          <m:rPr>
            <m:sty m:val="p"/>
          </m:rPr>
          <m:t>×</m:t>
        </m:r>
      </m:oMath>
      <w:r>
        <w:t xml:space="preserve">3 점자 셀에서 사용되지 않은 점 위치를 나타낸다.</w:t>
      </w:r>
    </w:p>
    <w:bookmarkEnd w:id="30"/>
    <w:bookmarkStart w:id="31" w:name="tab:cho"/>
    <w:p>
      <w:pPr>
        <w:pStyle w:val="TableCaption"/>
      </w:pPr>
      <w:r>
        <w:t xml:space="preserve">초성 점자 점형</w:t>
      </w:r>
    </w:p>
    <w:tbl>
      <w:tblPr>
        <w:tblStyle w:val="Table"/>
        <w:tblW w:type="auto" w:w="0"/>
        <w:tblLook w:firstRow="1" w:lastRow="0" w:firstColumn="0" w:lastColumn="0" w:noHBand="0" w:noVBand="0" w:val="0020"/>
        <w:tblCaption w:val="초성 점자 점형"/>
      </w:tblPr>
      <w:tblGrid>
        <w:gridCol w:w="1980"/>
        <w:gridCol w:w="1980"/>
        <w:gridCol w:w="1980"/>
        <w:gridCol w:w="1980"/>
      </w:tblGrid>
      <w:tr>
        <w:trPr>
          <w:tblHeader w:val="on"/>
        </w:trPr>
        <w:tc>
          <w:tcPr/>
          <w:p>
            <w:pPr>
              <w:pStyle w:val="Compact"/>
              <w:jc w:val="center"/>
            </w:pPr>
            <w:r>
              <w:t xml:space="preserve">자음</w:t>
            </w:r>
          </w:p>
        </w:tc>
        <w:tc>
          <w:tcPr/>
          <w:p>
            <w:pPr>
              <w:pStyle w:val="Compact"/>
              <w:jc w:val="center"/>
            </w:pPr>
            <w:r>
              <w:t xml:space="preserve">점</w:t>
            </w:r>
          </w:p>
        </w:tc>
        <w:tc>
          <w:tcPr/>
          <w:p>
            <w:pPr>
              <w:pStyle w:val="Compact"/>
              <w:jc w:val="center"/>
            </w:pPr>
            <w:r>
              <w:t xml:space="preserve">자음</w:t>
            </w:r>
          </w:p>
        </w:tc>
        <w:tc>
          <w:tcPr/>
          <w:p>
            <w:pPr>
              <w:pStyle w:val="Compact"/>
              <w:jc w:val="center"/>
            </w:pPr>
            <w:r>
              <w:t xml:space="preserve">점</w:t>
            </w:r>
          </w:p>
        </w:tc>
      </w:tr>
      <w:tr>
        <w:tc>
          <w:tcPr/>
          <w:p>
            <w:pPr>
              <w:pStyle w:val="Compact"/>
              <w:jc w:val="center"/>
            </w:pPr>
            <w:r>
              <w:t xml:space="preserve">ㄱ</w:t>
            </w:r>
          </w:p>
        </w:tc>
        <w:tc>
          <w:tcPr/>
          <w:p>
            <w:pPr>
              <w:pStyle w:val="Compact"/>
              <w:jc w:val="center"/>
            </w:pPr>
            <w:r>
              <w:t xml:space="preserve">4</w:t>
            </w:r>
          </w:p>
        </w:tc>
        <w:tc>
          <w:tcPr/>
          <w:p>
            <w:pPr>
              <w:pStyle w:val="Compact"/>
              <w:jc w:val="center"/>
            </w:pPr>
            <w:r>
              <w:t xml:space="preserve">ㅅ</w:t>
            </w:r>
          </w:p>
        </w:tc>
        <w:tc>
          <w:tcPr/>
          <w:p>
            <w:pPr>
              <w:pStyle w:val="Compact"/>
              <w:jc w:val="center"/>
            </w:pPr>
            <w:r>
              <w:t xml:space="preserve">6</w:t>
            </w:r>
          </w:p>
        </w:tc>
      </w:tr>
      <w:tr>
        <w:tc>
          <w:tcPr/>
          <w:p>
            <w:pPr>
              <w:pStyle w:val="Compact"/>
              <w:jc w:val="center"/>
            </w:pPr>
            <w:r>
              <w:t xml:space="preserve">ㄴ</w:t>
            </w:r>
          </w:p>
        </w:tc>
        <w:tc>
          <w:tcPr/>
          <w:p>
            <w:pPr>
              <w:pStyle w:val="Compact"/>
              <w:jc w:val="center"/>
            </w:pPr>
            <w:r>
              <w:t xml:space="preserve">1-4</w:t>
            </w:r>
          </w:p>
        </w:tc>
        <w:tc>
          <w:tcPr/>
          <w:p>
            <w:pPr>
              <w:pStyle w:val="Compact"/>
              <w:jc w:val="center"/>
            </w:pPr>
            <w:r>
              <w:t xml:space="preserve">ㅇ</w:t>
            </w:r>
          </w:p>
        </w:tc>
        <w:tc>
          <w:tcPr/>
          <w:p>
            <w:pPr>
              <w:pStyle w:val="Compact"/>
              <w:jc w:val="center"/>
            </w:pPr>
            <w:r>
              <w:t xml:space="preserve">1-2-4-5</w:t>
            </w:r>
          </w:p>
        </w:tc>
      </w:tr>
      <w:tr>
        <w:tc>
          <w:tcPr/>
          <w:p>
            <w:pPr>
              <w:pStyle w:val="Compact"/>
              <w:jc w:val="center"/>
            </w:pPr>
            <w:r>
              <w:t xml:space="preserve">ㄷ</w:t>
            </w:r>
          </w:p>
        </w:tc>
        <w:tc>
          <w:tcPr/>
          <w:p>
            <w:pPr>
              <w:pStyle w:val="Compact"/>
              <w:jc w:val="center"/>
            </w:pPr>
            <w:r>
              <w:t xml:space="preserve">2-4</w:t>
            </w:r>
          </w:p>
        </w:tc>
        <w:tc>
          <w:tcPr/>
          <w:p>
            <w:pPr>
              <w:pStyle w:val="Compact"/>
              <w:jc w:val="center"/>
            </w:pPr>
            <w:r>
              <w:t xml:space="preserve">ㅈ</w:t>
            </w:r>
          </w:p>
        </w:tc>
        <w:tc>
          <w:tcPr/>
          <w:p>
            <w:pPr>
              <w:pStyle w:val="Compact"/>
              <w:jc w:val="center"/>
            </w:pPr>
            <w:r>
              <w:t xml:space="preserve">4-6</w:t>
            </w:r>
          </w:p>
        </w:tc>
      </w:tr>
      <w:tr>
        <w:tc>
          <w:tcPr/>
          <w:p>
            <w:pPr>
              <w:pStyle w:val="Compact"/>
              <w:jc w:val="center"/>
            </w:pPr>
            <w:r>
              <w:t xml:space="preserve">ㄹ</w:t>
            </w:r>
          </w:p>
        </w:tc>
        <w:tc>
          <w:tcPr/>
          <w:p>
            <w:pPr>
              <w:pStyle w:val="Compact"/>
              <w:jc w:val="center"/>
            </w:pPr>
            <w:r>
              <w:t xml:space="preserve">5</w:t>
            </w:r>
          </w:p>
        </w:tc>
        <w:tc>
          <w:tcPr/>
          <w:p>
            <w:pPr>
              <w:pStyle w:val="Compact"/>
              <w:jc w:val="center"/>
            </w:pPr>
            <w:r>
              <w:t xml:space="preserve">ㅊ</w:t>
            </w:r>
          </w:p>
        </w:tc>
        <w:tc>
          <w:tcPr/>
          <w:p>
            <w:pPr>
              <w:pStyle w:val="Compact"/>
              <w:jc w:val="center"/>
            </w:pPr>
            <w:r>
              <w:t xml:space="preserve">5-6</w:t>
            </w:r>
          </w:p>
        </w:tc>
      </w:tr>
      <w:tr>
        <w:tc>
          <w:tcPr/>
          <w:p>
            <w:pPr>
              <w:pStyle w:val="Compact"/>
              <w:jc w:val="center"/>
            </w:pPr>
            <w:r>
              <w:t xml:space="preserve">ㅁ</w:t>
            </w:r>
          </w:p>
        </w:tc>
        <w:tc>
          <w:tcPr/>
          <w:p>
            <w:pPr>
              <w:pStyle w:val="Compact"/>
              <w:jc w:val="center"/>
            </w:pPr>
            <w:r>
              <w:t xml:space="preserve">1-5</w:t>
            </w:r>
          </w:p>
        </w:tc>
        <w:tc>
          <w:tcPr/>
          <w:p>
            <w:pPr>
              <w:pStyle w:val="Compact"/>
              <w:jc w:val="center"/>
            </w:pPr>
            <w:r>
              <w:t xml:space="preserve">ㅋ</w:t>
            </w:r>
          </w:p>
        </w:tc>
        <w:tc>
          <w:tcPr/>
          <w:p>
            <w:pPr>
              <w:pStyle w:val="Compact"/>
              <w:jc w:val="center"/>
            </w:pPr>
            <w:r>
              <w:t xml:space="preserve">1-2-4</w:t>
            </w:r>
          </w:p>
        </w:tc>
      </w:tr>
      <w:tr>
        <w:tc>
          <w:tcPr/>
          <w:p>
            <w:pPr>
              <w:pStyle w:val="Compact"/>
              <w:jc w:val="center"/>
            </w:pPr>
            <w:r>
              <w:t xml:space="preserve">ㅂ</w:t>
            </w:r>
          </w:p>
        </w:tc>
        <w:tc>
          <w:tcPr/>
          <w:p>
            <w:pPr>
              <w:pStyle w:val="Compact"/>
              <w:jc w:val="center"/>
            </w:pPr>
            <w:r>
              <w:t xml:space="preserve">4-5</w:t>
            </w:r>
          </w:p>
        </w:tc>
        <w:tc>
          <w:tcPr/>
          <w:p>
            <w:pPr>
              <w:pStyle w:val="Compact"/>
              <w:jc w:val="center"/>
            </w:pPr>
            <w:r>
              <w:t xml:space="preserve">ㅌ</w:t>
            </w:r>
          </w:p>
        </w:tc>
        <w:tc>
          <w:tcPr/>
          <w:p>
            <w:pPr>
              <w:pStyle w:val="Compact"/>
              <w:jc w:val="center"/>
            </w:pPr>
            <w:r>
              <w:t xml:space="preserve">1-2-5</w:t>
            </w:r>
          </w:p>
        </w:tc>
      </w:tr>
      <w:tr>
        <w:tc>
          <w:tcPr/>
          <w:p>
            <w:pPr>
              <w:pStyle w:val="Compact"/>
            </w:pPr>
          </w:p>
        </w:tc>
        <w:tc>
          <w:tcPr/>
          <w:p>
            <w:pPr>
              <w:pStyle w:val="Compact"/>
            </w:pPr>
          </w:p>
        </w:tc>
        <w:tc>
          <w:tcPr/>
          <w:p>
            <w:pPr>
              <w:pStyle w:val="Compact"/>
              <w:jc w:val="center"/>
            </w:pPr>
            <w:r>
              <w:t xml:space="preserve">ㅍ</w:t>
            </w:r>
          </w:p>
        </w:tc>
        <w:tc>
          <w:tcPr/>
          <w:p>
            <w:pPr>
              <w:pStyle w:val="Compact"/>
              <w:jc w:val="center"/>
            </w:pPr>
            <w:r>
              <w:t xml:space="preserve">1-4-5</w:t>
            </w:r>
          </w:p>
        </w:tc>
      </w:tr>
      <w:tr>
        <w:tc>
          <w:tcPr/>
          <w:p>
            <w:pPr>
              <w:pStyle w:val="Compact"/>
            </w:pPr>
          </w:p>
        </w:tc>
        <w:tc>
          <w:tcPr/>
          <w:p>
            <w:pPr>
              <w:pStyle w:val="Compact"/>
            </w:pPr>
          </w:p>
        </w:tc>
        <w:tc>
          <w:tcPr/>
          <w:p>
            <w:pPr>
              <w:pStyle w:val="Compact"/>
              <w:jc w:val="center"/>
            </w:pPr>
            <w:r>
              <w:t xml:space="preserve">ㅎ</w:t>
            </w:r>
          </w:p>
        </w:tc>
        <w:tc>
          <w:tcPr/>
          <w:p>
            <w:pPr>
              <w:pStyle w:val="Compact"/>
              <w:jc w:val="center"/>
            </w:pPr>
            <w:r>
              <w:t xml:space="preserve">2-4-5</w:t>
            </w:r>
          </w:p>
        </w:tc>
      </w:tr>
    </w:tbl>
    <w:bookmarkEnd w:id="31"/>
    <w:bookmarkStart w:id="32" w:name="tab:jung"/>
    <w:p>
      <w:pPr>
        <w:pStyle w:val="TableCaption"/>
      </w:pPr>
      <w:r>
        <w:t xml:space="preserve">중성 점자 점형</w:t>
      </w:r>
    </w:p>
    <w:tbl>
      <w:tblPr>
        <w:tblStyle w:val="Table"/>
        <w:tblW w:type="auto" w:w="0"/>
        <w:tblLook w:firstRow="1" w:lastRow="0" w:firstColumn="0" w:lastColumn="0" w:noHBand="0" w:noVBand="0" w:val="0020"/>
        <w:tblCaption w:val="중성 점자 점형"/>
      </w:tblPr>
      <w:tblGrid>
        <w:gridCol w:w="1980"/>
        <w:gridCol w:w="1980"/>
        <w:gridCol w:w="1980"/>
        <w:gridCol w:w="1980"/>
      </w:tblGrid>
      <w:tr>
        <w:trPr>
          <w:tblHeader w:val="on"/>
        </w:trPr>
        <w:tc>
          <w:tcPr/>
          <w:p>
            <w:pPr>
              <w:pStyle w:val="Compact"/>
              <w:jc w:val="center"/>
            </w:pPr>
            <w:r>
              <w:t xml:space="preserve">모음</w:t>
            </w:r>
          </w:p>
        </w:tc>
        <w:tc>
          <w:tcPr/>
          <w:p>
            <w:pPr>
              <w:pStyle w:val="Compact"/>
              <w:jc w:val="center"/>
            </w:pPr>
            <w:r>
              <w:t xml:space="preserve">점</w:t>
            </w:r>
          </w:p>
        </w:tc>
        <w:tc>
          <w:tcPr/>
          <w:p>
            <w:pPr>
              <w:pStyle w:val="Compact"/>
              <w:jc w:val="center"/>
            </w:pPr>
            <w:r>
              <w:t xml:space="preserve">모음</w:t>
            </w:r>
          </w:p>
        </w:tc>
        <w:tc>
          <w:tcPr/>
          <w:p>
            <w:pPr>
              <w:pStyle w:val="Compact"/>
              <w:jc w:val="center"/>
            </w:pPr>
            <w:r>
              <w:t xml:space="preserve">점</w:t>
            </w:r>
          </w:p>
        </w:tc>
      </w:tr>
      <w:tr>
        <w:tc>
          <w:tcPr/>
          <w:p>
            <w:pPr>
              <w:pStyle w:val="Compact"/>
              <w:jc w:val="center"/>
            </w:pPr>
            <w:r>
              <w:t xml:space="preserve">ㅏ</w:t>
            </w:r>
          </w:p>
        </w:tc>
        <w:tc>
          <w:tcPr/>
          <w:p>
            <w:pPr>
              <w:pStyle w:val="Compact"/>
              <w:jc w:val="center"/>
            </w:pPr>
            <w:r>
              <w:t xml:space="preserve">1-2-6</w:t>
            </w:r>
          </w:p>
        </w:tc>
        <w:tc>
          <w:tcPr/>
          <w:p>
            <w:pPr>
              <w:pStyle w:val="Compact"/>
              <w:jc w:val="center"/>
            </w:pPr>
            <w:r>
              <w:t xml:space="preserve">ㅗ</w:t>
            </w:r>
          </w:p>
        </w:tc>
        <w:tc>
          <w:tcPr/>
          <w:p>
            <w:pPr>
              <w:pStyle w:val="Compact"/>
              <w:jc w:val="center"/>
            </w:pPr>
            <w:r>
              <w:t xml:space="preserve">1-3-6</w:t>
            </w:r>
          </w:p>
        </w:tc>
      </w:tr>
      <w:tr>
        <w:tc>
          <w:tcPr/>
          <w:p>
            <w:pPr>
              <w:pStyle w:val="Compact"/>
              <w:jc w:val="center"/>
            </w:pPr>
            <w:r>
              <w:t xml:space="preserve">ㅐ</w:t>
            </w:r>
          </w:p>
        </w:tc>
        <w:tc>
          <w:tcPr/>
          <w:p>
            <w:pPr>
              <w:pStyle w:val="Compact"/>
              <w:jc w:val="center"/>
            </w:pPr>
            <w:r>
              <w:t xml:space="preserve">1-2-3-5</w:t>
            </w:r>
          </w:p>
        </w:tc>
        <w:tc>
          <w:tcPr/>
          <w:p>
            <w:pPr>
              <w:pStyle w:val="Compact"/>
              <w:jc w:val="center"/>
            </w:pPr>
            <w:r>
              <w:t xml:space="preserve">ㅛ</w:t>
            </w:r>
          </w:p>
        </w:tc>
        <w:tc>
          <w:tcPr/>
          <w:p>
            <w:pPr>
              <w:pStyle w:val="Compact"/>
              <w:jc w:val="center"/>
            </w:pPr>
            <w:r>
              <w:t xml:space="preserve">3-4-6</w:t>
            </w:r>
          </w:p>
        </w:tc>
      </w:tr>
      <w:tr>
        <w:tc>
          <w:tcPr/>
          <w:p>
            <w:pPr>
              <w:pStyle w:val="Compact"/>
              <w:jc w:val="center"/>
            </w:pPr>
            <w:r>
              <w:t xml:space="preserve">ㅑ</w:t>
            </w:r>
          </w:p>
        </w:tc>
        <w:tc>
          <w:tcPr/>
          <w:p>
            <w:pPr>
              <w:pStyle w:val="Compact"/>
              <w:jc w:val="center"/>
            </w:pPr>
            <w:r>
              <w:t xml:space="preserve">3-4-5</w:t>
            </w:r>
          </w:p>
        </w:tc>
        <w:tc>
          <w:tcPr/>
          <w:p>
            <w:pPr>
              <w:pStyle w:val="Compact"/>
              <w:jc w:val="center"/>
            </w:pPr>
            <w:r>
              <w:t xml:space="preserve">ㅜ</w:t>
            </w:r>
          </w:p>
        </w:tc>
        <w:tc>
          <w:tcPr/>
          <w:p>
            <w:pPr>
              <w:pStyle w:val="Compact"/>
              <w:jc w:val="center"/>
            </w:pPr>
            <w:r>
              <w:t xml:space="preserve">1-3-4</w:t>
            </w:r>
          </w:p>
        </w:tc>
      </w:tr>
      <w:tr>
        <w:tc>
          <w:tcPr/>
          <w:p>
            <w:pPr>
              <w:pStyle w:val="Compact"/>
              <w:jc w:val="center"/>
            </w:pPr>
            <w:r>
              <w:t xml:space="preserve">ㅓ</w:t>
            </w:r>
          </w:p>
        </w:tc>
        <w:tc>
          <w:tcPr/>
          <w:p>
            <w:pPr>
              <w:pStyle w:val="Compact"/>
              <w:jc w:val="center"/>
            </w:pPr>
            <w:r>
              <w:t xml:space="preserve">2-3-4</w:t>
            </w:r>
          </w:p>
        </w:tc>
        <w:tc>
          <w:tcPr/>
          <w:p>
            <w:pPr>
              <w:pStyle w:val="Compact"/>
              <w:jc w:val="center"/>
            </w:pPr>
            <w:r>
              <w:t xml:space="preserve">ㅠ</w:t>
            </w:r>
          </w:p>
        </w:tc>
        <w:tc>
          <w:tcPr/>
          <w:p>
            <w:pPr>
              <w:pStyle w:val="Compact"/>
              <w:jc w:val="center"/>
            </w:pPr>
            <w:r>
              <w:t xml:space="preserve">1-4-6</w:t>
            </w:r>
          </w:p>
        </w:tc>
      </w:tr>
      <w:tr>
        <w:tc>
          <w:tcPr/>
          <w:p>
            <w:pPr>
              <w:pStyle w:val="Compact"/>
              <w:jc w:val="center"/>
            </w:pPr>
            <w:r>
              <w:t xml:space="preserve">ㅔ</w:t>
            </w:r>
          </w:p>
        </w:tc>
        <w:tc>
          <w:tcPr/>
          <w:p>
            <w:pPr>
              <w:pStyle w:val="Compact"/>
              <w:jc w:val="center"/>
            </w:pPr>
            <w:r>
              <w:t xml:space="preserve">1-3-4-5</w:t>
            </w:r>
          </w:p>
        </w:tc>
        <w:tc>
          <w:tcPr/>
          <w:p>
            <w:pPr>
              <w:pStyle w:val="Compact"/>
              <w:jc w:val="center"/>
            </w:pPr>
            <w:r>
              <w:t xml:space="preserve">ㅡ</w:t>
            </w:r>
          </w:p>
        </w:tc>
        <w:tc>
          <w:tcPr/>
          <w:p>
            <w:pPr>
              <w:pStyle w:val="Compact"/>
              <w:jc w:val="center"/>
            </w:pPr>
            <w:r>
              <w:t xml:space="preserve">2-4-6</w:t>
            </w:r>
          </w:p>
        </w:tc>
      </w:tr>
      <w:tr>
        <w:tc>
          <w:tcPr/>
          <w:p>
            <w:pPr>
              <w:pStyle w:val="Compact"/>
              <w:jc w:val="center"/>
            </w:pPr>
            <w:r>
              <w:t xml:space="preserve">ㅕ</w:t>
            </w:r>
          </w:p>
        </w:tc>
        <w:tc>
          <w:tcPr/>
          <w:p>
            <w:pPr>
              <w:pStyle w:val="Compact"/>
              <w:jc w:val="center"/>
            </w:pPr>
            <w:r>
              <w:t xml:space="preserve">1-5-6</w:t>
            </w:r>
          </w:p>
        </w:tc>
        <w:tc>
          <w:tcPr/>
          <w:p>
            <w:pPr>
              <w:pStyle w:val="Compact"/>
              <w:jc w:val="center"/>
            </w:pPr>
            <w:r>
              <w:t xml:space="preserve">ㅢ</w:t>
            </w:r>
          </w:p>
        </w:tc>
        <w:tc>
          <w:tcPr/>
          <w:p>
            <w:pPr>
              <w:pStyle w:val="Compact"/>
              <w:jc w:val="center"/>
            </w:pPr>
            <w:r>
              <w:t xml:space="preserve">2-4-5-6</w:t>
            </w:r>
          </w:p>
        </w:tc>
      </w:tr>
      <w:tr>
        <w:tc>
          <w:tcPr/>
          <w:p>
            <w:pPr>
              <w:pStyle w:val="Compact"/>
              <w:jc w:val="center"/>
            </w:pPr>
            <w:r>
              <w:t xml:space="preserve">ㅖ</w:t>
            </w:r>
          </w:p>
        </w:tc>
        <w:tc>
          <w:tcPr/>
          <w:p>
            <w:pPr>
              <w:pStyle w:val="Compact"/>
              <w:jc w:val="center"/>
            </w:pPr>
            <w:r>
              <w:t xml:space="preserve">3-4</w:t>
            </w:r>
          </w:p>
        </w:tc>
        <w:tc>
          <w:tcPr/>
          <w:p>
            <w:pPr>
              <w:pStyle w:val="Compact"/>
              <w:jc w:val="center"/>
            </w:pPr>
            <w:r>
              <w:t xml:space="preserve">ㅣ</w:t>
            </w:r>
          </w:p>
        </w:tc>
        <w:tc>
          <w:tcPr/>
          <w:p>
            <w:pPr>
              <w:pStyle w:val="Compact"/>
              <w:jc w:val="center"/>
            </w:pPr>
            <w:r>
              <w:t xml:space="preserve">1-3-5</w:t>
            </w:r>
          </w:p>
        </w:tc>
      </w:tr>
    </w:tbl>
    <w:bookmarkEnd w:id="32"/>
    <w:bookmarkStart w:id="33" w:name="tab:jong"/>
    <w:p>
      <w:pPr>
        <w:pStyle w:val="TableCaption"/>
      </w:pPr>
      <w:r>
        <w:t xml:space="preserve">종성 점자 점형</w:t>
      </w:r>
    </w:p>
    <w:tbl>
      <w:tblPr>
        <w:tblStyle w:val="Table"/>
        <w:tblW w:type="auto" w:w="0"/>
        <w:tblLook w:firstRow="1" w:lastRow="0" w:firstColumn="0" w:lastColumn="0" w:noHBand="0" w:noVBand="0" w:val="0020"/>
        <w:tblCaption w:val="종성 점자 점형"/>
      </w:tblPr>
      <w:tblGrid>
        <w:gridCol w:w="1980"/>
        <w:gridCol w:w="1980"/>
        <w:gridCol w:w="1980"/>
        <w:gridCol w:w="1980"/>
      </w:tblGrid>
      <w:tr>
        <w:trPr>
          <w:tblHeader w:val="on"/>
        </w:trPr>
        <w:tc>
          <w:tcPr/>
          <w:p>
            <w:pPr>
              <w:pStyle w:val="Compact"/>
              <w:jc w:val="center"/>
            </w:pPr>
            <w:r>
              <w:t xml:space="preserve">자음</w:t>
            </w:r>
          </w:p>
        </w:tc>
        <w:tc>
          <w:tcPr/>
          <w:p>
            <w:pPr>
              <w:pStyle w:val="Compact"/>
              <w:jc w:val="center"/>
            </w:pPr>
            <w:r>
              <w:t xml:space="preserve">점</w:t>
            </w:r>
          </w:p>
        </w:tc>
        <w:tc>
          <w:tcPr/>
          <w:p>
            <w:pPr>
              <w:pStyle w:val="Compact"/>
              <w:jc w:val="center"/>
            </w:pPr>
            <w:r>
              <w:t xml:space="preserve">자음</w:t>
            </w:r>
          </w:p>
        </w:tc>
        <w:tc>
          <w:tcPr/>
          <w:p>
            <w:pPr>
              <w:pStyle w:val="Compact"/>
              <w:jc w:val="center"/>
            </w:pPr>
            <w:r>
              <w:t xml:space="preserve">점</w:t>
            </w:r>
          </w:p>
        </w:tc>
      </w:tr>
      <w:tr>
        <w:tc>
          <w:tcPr/>
          <w:p>
            <w:pPr>
              <w:pStyle w:val="Compact"/>
              <w:jc w:val="center"/>
            </w:pPr>
            <w:r>
              <w:t xml:space="preserve">ㄱ</w:t>
            </w:r>
          </w:p>
        </w:tc>
        <w:tc>
          <w:tcPr/>
          <w:p>
            <w:pPr>
              <w:pStyle w:val="Compact"/>
              <w:jc w:val="center"/>
            </w:pPr>
            <w:r>
              <w:t xml:space="preserve">1</w:t>
            </w:r>
          </w:p>
        </w:tc>
        <w:tc>
          <w:tcPr/>
          <w:p>
            <w:pPr>
              <w:pStyle w:val="Compact"/>
              <w:jc w:val="center"/>
            </w:pPr>
            <w:r>
              <w:t xml:space="preserve">ㅇ</w:t>
            </w:r>
          </w:p>
        </w:tc>
        <w:tc>
          <w:tcPr/>
          <w:p>
            <w:pPr>
              <w:pStyle w:val="Compact"/>
              <w:jc w:val="center"/>
            </w:pPr>
            <w:r>
              <w:t xml:space="preserve">2-3-5-6</w:t>
            </w:r>
          </w:p>
        </w:tc>
      </w:tr>
      <w:tr>
        <w:tc>
          <w:tcPr/>
          <w:p>
            <w:pPr>
              <w:pStyle w:val="Compact"/>
              <w:jc w:val="center"/>
            </w:pPr>
            <w:r>
              <w:t xml:space="preserve">ㄴ</w:t>
            </w:r>
          </w:p>
        </w:tc>
        <w:tc>
          <w:tcPr/>
          <w:p>
            <w:pPr>
              <w:pStyle w:val="Compact"/>
              <w:jc w:val="center"/>
            </w:pPr>
            <w:r>
              <w:t xml:space="preserve">2-5</w:t>
            </w:r>
          </w:p>
        </w:tc>
        <w:tc>
          <w:tcPr/>
          <w:p>
            <w:pPr>
              <w:pStyle w:val="Compact"/>
              <w:jc w:val="center"/>
            </w:pPr>
            <w:r>
              <w:t xml:space="preserve">ㅈ</w:t>
            </w:r>
          </w:p>
        </w:tc>
        <w:tc>
          <w:tcPr/>
          <w:p>
            <w:pPr>
              <w:pStyle w:val="Compact"/>
              <w:jc w:val="center"/>
            </w:pPr>
            <w:r>
              <w:t xml:space="preserve">1-3</w:t>
            </w:r>
          </w:p>
        </w:tc>
      </w:tr>
      <w:tr>
        <w:tc>
          <w:tcPr/>
          <w:p>
            <w:pPr>
              <w:pStyle w:val="Compact"/>
              <w:jc w:val="center"/>
            </w:pPr>
            <w:r>
              <w:t xml:space="preserve">ㄷ</w:t>
            </w:r>
          </w:p>
        </w:tc>
        <w:tc>
          <w:tcPr/>
          <w:p>
            <w:pPr>
              <w:pStyle w:val="Compact"/>
              <w:jc w:val="center"/>
            </w:pPr>
            <w:r>
              <w:t xml:space="preserve">3-5</w:t>
            </w:r>
          </w:p>
        </w:tc>
        <w:tc>
          <w:tcPr/>
          <w:p>
            <w:pPr>
              <w:pStyle w:val="Compact"/>
              <w:jc w:val="center"/>
            </w:pPr>
            <w:r>
              <w:t xml:space="preserve">ㅊ</w:t>
            </w:r>
          </w:p>
        </w:tc>
        <w:tc>
          <w:tcPr/>
          <w:p>
            <w:pPr>
              <w:pStyle w:val="Compact"/>
              <w:jc w:val="center"/>
            </w:pPr>
            <w:r>
              <w:t xml:space="preserve">2-3</w:t>
            </w:r>
          </w:p>
        </w:tc>
      </w:tr>
      <w:tr>
        <w:tc>
          <w:tcPr/>
          <w:p>
            <w:pPr>
              <w:pStyle w:val="Compact"/>
              <w:jc w:val="center"/>
            </w:pPr>
            <w:r>
              <w:t xml:space="preserve">ㄹ</w:t>
            </w:r>
          </w:p>
        </w:tc>
        <w:tc>
          <w:tcPr/>
          <w:p>
            <w:pPr>
              <w:pStyle w:val="Compact"/>
              <w:jc w:val="center"/>
            </w:pPr>
            <w:r>
              <w:t xml:space="preserve">2</w:t>
            </w:r>
          </w:p>
        </w:tc>
        <w:tc>
          <w:tcPr/>
          <w:p>
            <w:pPr>
              <w:pStyle w:val="Compact"/>
              <w:jc w:val="center"/>
            </w:pPr>
            <w:r>
              <w:t xml:space="preserve">ㅋ</w:t>
            </w:r>
          </w:p>
        </w:tc>
        <w:tc>
          <w:tcPr/>
          <w:p>
            <w:pPr>
              <w:pStyle w:val="Compact"/>
              <w:jc w:val="center"/>
            </w:pPr>
            <w:r>
              <w:t xml:space="preserve">2-3-5</w:t>
            </w:r>
          </w:p>
        </w:tc>
      </w:tr>
      <w:tr>
        <w:tc>
          <w:tcPr/>
          <w:p>
            <w:pPr>
              <w:pStyle w:val="Compact"/>
              <w:jc w:val="center"/>
            </w:pPr>
            <w:r>
              <w:t xml:space="preserve">ㅁ</w:t>
            </w:r>
          </w:p>
        </w:tc>
        <w:tc>
          <w:tcPr/>
          <w:p>
            <w:pPr>
              <w:pStyle w:val="Compact"/>
              <w:jc w:val="center"/>
            </w:pPr>
            <w:r>
              <w:t xml:space="preserve">2-6</w:t>
            </w:r>
          </w:p>
        </w:tc>
        <w:tc>
          <w:tcPr/>
          <w:p>
            <w:pPr>
              <w:pStyle w:val="Compact"/>
              <w:jc w:val="center"/>
            </w:pPr>
            <w:r>
              <w:t xml:space="preserve">ㅌ</w:t>
            </w:r>
          </w:p>
        </w:tc>
        <w:tc>
          <w:tcPr/>
          <w:p>
            <w:pPr>
              <w:pStyle w:val="Compact"/>
              <w:jc w:val="center"/>
            </w:pPr>
            <w:r>
              <w:t xml:space="preserve">2-3-6</w:t>
            </w:r>
          </w:p>
        </w:tc>
      </w:tr>
      <w:tr>
        <w:tc>
          <w:tcPr/>
          <w:p>
            <w:pPr>
              <w:pStyle w:val="Compact"/>
              <w:jc w:val="center"/>
            </w:pPr>
            <w:r>
              <w:t xml:space="preserve">ㅂ</w:t>
            </w:r>
          </w:p>
        </w:tc>
        <w:tc>
          <w:tcPr/>
          <w:p>
            <w:pPr>
              <w:pStyle w:val="Compact"/>
              <w:jc w:val="center"/>
            </w:pPr>
            <w:r>
              <w:t xml:space="preserve">1-2</w:t>
            </w:r>
          </w:p>
        </w:tc>
        <w:tc>
          <w:tcPr/>
          <w:p>
            <w:pPr>
              <w:pStyle w:val="Compact"/>
              <w:jc w:val="center"/>
            </w:pPr>
            <w:r>
              <w:t xml:space="preserve">ㅍ</w:t>
            </w:r>
          </w:p>
        </w:tc>
        <w:tc>
          <w:tcPr/>
          <w:p>
            <w:pPr>
              <w:pStyle w:val="Compact"/>
              <w:jc w:val="center"/>
            </w:pPr>
            <w:r>
              <w:t xml:space="preserve">2-5-6</w:t>
            </w:r>
          </w:p>
        </w:tc>
      </w:tr>
      <w:tr>
        <w:tc>
          <w:tcPr/>
          <w:p>
            <w:pPr>
              <w:pStyle w:val="Compact"/>
              <w:jc w:val="center"/>
            </w:pPr>
            <w:r>
              <w:t xml:space="preserve">ㅅ</w:t>
            </w:r>
          </w:p>
        </w:tc>
        <w:tc>
          <w:tcPr/>
          <w:p>
            <w:pPr>
              <w:pStyle w:val="Compact"/>
              <w:jc w:val="center"/>
            </w:pPr>
            <w:r>
              <w:t xml:space="preserve">3</w:t>
            </w:r>
          </w:p>
        </w:tc>
        <w:tc>
          <w:tcPr/>
          <w:p>
            <w:pPr>
              <w:pStyle w:val="Compact"/>
              <w:jc w:val="center"/>
            </w:pPr>
            <w:r>
              <w:t xml:space="preserve">ㅎ</w:t>
            </w:r>
          </w:p>
        </w:tc>
        <w:tc>
          <w:tcPr/>
          <w:p>
            <w:pPr>
              <w:pStyle w:val="Compact"/>
              <w:jc w:val="center"/>
            </w:pPr>
            <w:r>
              <w:t xml:space="preserve">3-5-6</w:t>
            </w:r>
          </w:p>
        </w:tc>
      </w:tr>
    </w:tbl>
    <w:bookmarkEnd w:id="33"/>
    <w:bookmarkEnd w:id="34"/>
    <w:bookmarkEnd w:id="35"/>
    <w:bookmarkStart w:id="50" w:name="sec:dataset"/>
    <w:p>
      <w:pPr>
        <w:pStyle w:val="Heading1"/>
      </w:pPr>
      <w:r>
        <w:t xml:space="preserve">데이터셋 기술</w:t>
      </w:r>
    </w:p>
    <w:bookmarkStart w:id="36" w:name="원본-데이터"/>
    <w:p>
      <w:pPr>
        <w:pStyle w:val="Heading2"/>
      </w:pPr>
      <w:r>
        <w:t xml:space="preserve">원본 데이터</w:t>
      </w:r>
    </w:p>
    <w:p>
      <w:pPr>
        <w:pStyle w:val="FirstParagraph"/>
      </w:pPr>
      <w:r>
        <w:t xml:space="preserve">KOSHA-Braille 데이터셋은 안전보건공단(KOSHA)의 물질안전보건자료 데이터베이스에서 도출되며, 공공데이터포털 API</w:t>
      </w:r>
      <w:r>
        <w:t xml:space="preserve"> </w:t>
      </w:r>
      <w:r>
        <w:t xml:space="preserve">를 통해 일 호출 한도 10만 회의 인증 운영 계정으로 접근한다.</w:t>
      </w:r>
    </w:p>
    <w:bookmarkEnd w:id="36"/>
    <w:bookmarkStart w:id="46" w:name="데이터셋-통계"/>
    <w:p>
      <w:pPr>
        <w:pStyle w:val="Heading2"/>
      </w:pPr>
      <w:r>
        <w:t xml:space="preserve">데이터셋 통계</w:t>
      </w:r>
    </w:p>
    <w:p>
      <w:pPr>
        <w:pStyle w:val="FirstParagraph"/>
      </w:pPr>
      <w:hyperlink w:anchor="tab:stats">
        <w:r>
          <w:rPr>
            <w:rStyle w:val="Hyperlink"/>
          </w:rPr>
          <w:t xml:space="preserve">4</w:t>
        </w:r>
      </w:hyperlink>
      <w:r>
        <w:t xml:space="preserve">표는 공개된 JSONL 산출물로부터 직접 재계산한 데이터셋 특성을 요약한다.</w:t>
      </w:r>
      <w:r>
        <w:t xml:space="preserve"> </w:t>
      </w:r>
      <w:hyperlink w:anchor="fig:stats">
        <w:r>
          <w:rPr>
            <w:rStyle w:val="Hyperlink"/>
          </w:rPr>
          <w:t xml:space="preserve">3</w:t>
        </w:r>
      </w:hyperlink>
      <w:r>
        <w:t xml:space="preserve">그림은 문자 분포와 화학물질당 본문 길이의 경험적 분포를,</w:t>
      </w:r>
      <w:r>
        <w:t xml:space="preserve"> </w:t>
      </w:r>
      <w:hyperlink w:anchor="fig:section_coverage">
        <w:r>
          <w:rPr>
            <w:rStyle w:val="Hyperlink"/>
          </w:rPr>
          <w:t xml:space="preserve">4</w:t>
        </w:r>
      </w:hyperlink>
      <w:r>
        <w:t xml:space="preserve">그림은 섹션별 커버리지와 평균 길이를 보여 준다.</w:t>
      </w:r>
    </w:p>
    <w:bookmarkStart w:id="40" w:name="fig:stats"/>
    <w:p>
      <w:pPr>
        <w:pStyle w:val="CaptionedFigure"/>
      </w:pPr>
      <w:r>
        <w:drawing>
          <wp:inline>
            <wp:extent cx="5334000" cy="2281173"/>
            <wp:effectExtent b="0" l="0" r="0" t="0"/>
            <wp:docPr descr="" title="" id="38" name="Picture"/>
            <a:graphic>
              <a:graphicData uri="http://schemas.openxmlformats.org/drawingml/2006/picture">
                <pic:pic>
                  <pic:nvPicPr>
                    <pic:cNvPr descr="fig_dataset_stats_ko.png" id="39" name="Picture"/>
                    <pic:cNvPicPr>
                      <a:picLocks noChangeArrowheads="1" noChangeAspect="1"/>
                    </pic:cNvPicPr>
                  </pic:nvPicPr>
                  <pic:blipFill>
                    <a:blip r:embed="rId37"/>
                    <a:stretch>
                      <a:fillRect/>
                    </a:stretch>
                  </pic:blipFill>
                  <pic:spPr bwMode="auto">
                    <a:xfrm>
                      <a:off x="0" y="0"/>
                      <a:ext cx="5334000" cy="2281173"/>
                    </a:xfrm>
                    <a:prstGeom prst="rect">
                      <a:avLst/>
                    </a:prstGeom>
                    <a:noFill/>
                    <a:ln w="9525">
                      <a:noFill/>
                      <a:headEnd/>
                      <a:tailEnd/>
                    </a:ln>
                  </pic:spPr>
                </pic:pic>
              </a:graphicData>
            </a:graphic>
          </wp:inline>
        </w:drawing>
      </w:r>
    </w:p>
    <w:p>
      <w:pPr>
        <w:pStyle w:val="ImageCaption"/>
      </w:pPr>
      <w:r>
        <w:t xml:space="preserve">공개 JSONL 기준 데이터셋 특성(</w:t>
      </w:r>
      <m:oMath>
        <m:r>
          <m:t>n</m:t>
        </m:r>
        <m:r>
          <m:rPr>
            <m:sty m:val="p"/>
          </m:rPr>
          <m:t>=</m:t>
        </m:r>
        <m:r>
          <m:t>48</m:t>
        </m:r>
        <m:r>
          <m:rPr>
            <m:sty m:val="p"/>
          </m:rPr>
          <m:t>,</m:t>
        </m:r>
        <m:r>
          <m:t>966</m:t>
        </m:r>
      </m:oMath>
      <w:r>
        <w:t xml:space="preserve"> </w:t>
      </w:r>
      <w:r>
        <w:t xml:space="preserve">화학물질). (왼쪽) 문자 유형 분포. (오른쪽) 화학물질당 총 한국어 본문 길이 히스토그램. 양봉 형태는 16개 섹션을 모두 갖춘 화학물질과 KOSHA 기록에 실질 본문이 일부 섹션에만 들어 있는 화학물질의 혼재를 반영한다.</w:t>
      </w:r>
    </w:p>
    <w:bookmarkEnd w:id="40"/>
    <w:bookmarkStart w:id="41" w:name="tab:stats"/>
    <w:p>
      <w:pPr>
        <w:pStyle w:val="TableCaption"/>
      </w:pPr>
      <w:r>
        <w:t xml:space="preserve">KOSHA-Braille 데이터셋 통계</w:t>
      </w:r>
    </w:p>
    <w:tbl>
      <w:tblPr>
        <w:tblStyle w:val="Table"/>
        <w:tblW w:type="auto" w:w="0"/>
        <w:tblLook w:firstRow="1" w:lastRow="0" w:firstColumn="0" w:lastColumn="0" w:noHBand="0" w:noVBand="0" w:val="0020"/>
        <w:tblCaption w:val="KOSHA-Braille 데이터셋 통계"/>
      </w:tblPr>
      <w:tblGrid>
        <w:gridCol w:w="3960"/>
        <w:gridCol w:w="3960"/>
      </w:tblGrid>
      <w:tr>
        <w:trPr>
          <w:tblHeader w:val="on"/>
        </w:trPr>
        <w:tc>
          <w:tcPr/>
          <w:p>
            <w:pPr>
              <w:pStyle w:val="Compact"/>
              <w:jc w:val="left"/>
            </w:pPr>
            <w:r>
              <w:t xml:space="preserve">지표</w:t>
            </w:r>
          </w:p>
        </w:tc>
        <w:tc>
          <w:tcPr/>
          <w:p>
            <w:pPr>
              <w:pStyle w:val="Compact"/>
              <w:jc w:val="right"/>
            </w:pPr>
            <w:r>
              <w:t xml:space="preserve">값</w:t>
            </w:r>
          </w:p>
        </w:tc>
      </w:tr>
      <w:tr>
        <w:tc>
          <w:tcPr/>
          <w:p>
            <w:pPr>
              <w:pStyle w:val="Compact"/>
              <w:jc w:val="left"/>
            </w:pPr>
            <w:r>
              <w:t xml:space="preserve">화학물질 수</w:t>
            </w:r>
          </w:p>
        </w:tc>
        <w:tc>
          <w:tcPr/>
          <w:p>
            <w:pPr>
              <w:pStyle w:val="Compact"/>
              <w:jc w:val="right"/>
            </w:pPr>
            <w:r>
              <w:t xml:space="preserve">48,966</w:t>
            </w:r>
          </w:p>
        </w:tc>
      </w:tr>
      <w:tr>
        <w:tc>
          <w:tcPr/>
          <w:p>
            <w:pPr>
              <w:pStyle w:val="Compact"/>
              <w:jc w:val="left"/>
            </w:pPr>
            <w:r>
              <w:t xml:space="preserve">원본 DB 섹션 행 수</w:t>
            </w:r>
          </w:p>
        </w:tc>
        <w:tc>
          <w:tcPr/>
          <w:p>
            <w:pPr>
              <w:pStyle w:val="Compact"/>
              <w:jc w:val="right"/>
            </w:pPr>
            <w:r>
              <w:t xml:space="preserve">769,897</w:t>
            </w:r>
          </w:p>
        </w:tc>
      </w:tr>
      <w:tr>
        <w:tc>
          <w:tcPr/>
          <w:p>
            <w:pPr>
              <w:pStyle w:val="Compact"/>
              <w:jc w:val="left"/>
            </w:pPr>
            <w:r>
              <w:t xml:space="preserve">공개 비어 있지 않은 섹션 수</w:t>
            </w:r>
          </w:p>
        </w:tc>
        <w:tc>
          <w:tcPr/>
          <w:p>
            <w:pPr>
              <w:pStyle w:val="Compact"/>
              <w:jc w:val="right"/>
            </w:pPr>
            <w:r>
              <w:t xml:space="preserve">401,272</w:t>
            </w:r>
          </w:p>
        </w:tc>
      </w:tr>
      <w:tr>
        <w:tc>
          <w:tcPr/>
          <w:p>
            <w:pPr>
              <w:pStyle w:val="Compact"/>
              <w:jc w:val="left"/>
            </w:pPr>
            <w:r>
              <w:t xml:space="preserve">화학물질당 평균 비어 있지 않은 섹션</w:t>
            </w:r>
          </w:p>
        </w:tc>
        <w:tc>
          <w:tcPr/>
          <w:p>
            <w:pPr>
              <w:pStyle w:val="Compact"/>
              <w:jc w:val="right"/>
            </w:pPr>
            <w:r>
              <w:t xml:space="preserve">8.2 (전체 스키마: 16)</w:t>
            </w:r>
          </w:p>
        </w:tc>
      </w:tr>
      <w:tr>
        <w:tc>
          <w:tcPr/>
          <w:p>
            <w:pPr>
              <w:pStyle w:val="Compact"/>
              <w:jc w:val="left"/>
            </w:pPr>
            <w:r>
              <w:t xml:space="preserve">한국어 본문(총)</w:t>
            </w:r>
          </w:p>
        </w:tc>
        <w:tc>
          <w:tcPr/>
          <w:p>
            <w:pPr>
              <w:pStyle w:val="Compact"/>
              <w:jc w:val="right"/>
            </w:pPr>
            <w:r>
              <w:t xml:space="preserve">1억 1</w:t>
            </w:r>
            <w:r>
              <w:t xml:space="preserve">,</w:t>
            </w:r>
            <w:r>
              <w:t xml:space="preserve">930만 문자</w:t>
            </w:r>
          </w:p>
        </w:tc>
      </w:tr>
      <w:tr>
        <w:tc>
          <w:tcPr/>
          <w:p>
            <w:pPr>
              <w:pStyle w:val="Compact"/>
              <w:jc w:val="left"/>
            </w:pPr>
            <w:r>
              <w:t xml:space="preserve">한국 점자(총)</w:t>
            </w:r>
          </w:p>
        </w:tc>
        <w:tc>
          <w:tcPr/>
          <w:p>
            <w:pPr>
              <w:pStyle w:val="Compact"/>
              <w:jc w:val="right"/>
            </w:pPr>
            <w:r>
              <w:t xml:space="preserve">2억 3</w:t>
            </w:r>
            <w:r>
              <w:t xml:space="preserve">,</w:t>
            </w:r>
            <w:r>
              <w:t xml:space="preserve">230만 셀</w:t>
            </w:r>
          </w:p>
        </w:tc>
      </w:tr>
      <w:tr>
        <w:tc>
          <w:tcPr/>
          <w:p>
            <w:pPr>
              <w:pStyle w:val="Compact"/>
              <w:jc w:val="left"/>
            </w:pPr>
            <w:r>
              <w:t xml:space="preserve">점자:본문 평균 비율</w:t>
            </w:r>
          </w:p>
        </w:tc>
        <w:tc>
          <w:tcPr/>
          <w:p>
            <w:pPr>
              <w:pStyle w:val="Compact"/>
              <w:jc w:val="right"/>
            </w:pPr>
            <w:r>
              <w:t xml:space="preserve">1.95</w:t>
            </w:r>
          </w:p>
        </w:tc>
      </w:tr>
      <w:tr>
        <w:tc>
          <w:tcPr>
            <w:gridSpan w:val="2"/>
          </w:tcPr>
          <w:p>
            <w:pPr>
              <w:pStyle w:val="Compact"/>
              <w:jc w:val="left"/>
            </w:pPr>
            <w:r>
              <w:rPr>
                <w:i/>
                <w:iCs/>
              </w:rPr>
              <w:t xml:space="preserve">화학물질당 한국어 본문 길이</w:t>
            </w:r>
          </w:p>
        </w:tc>
      </w:tr>
      <w:tr>
        <w:tc>
          <w:tcPr/>
          <w:p>
            <w:pPr>
              <w:pStyle w:val="Compact"/>
              <w:jc w:val="left"/>
            </w:pPr>
            <w:r>
              <w:t xml:space="preserve">평균</w:t>
            </w:r>
          </w:p>
        </w:tc>
        <w:tc>
          <w:tcPr/>
          <w:p>
            <w:pPr>
              <w:pStyle w:val="Compact"/>
              <w:jc w:val="right"/>
            </w:pPr>
            <w:r>
              <w:t xml:space="preserve">2</w:t>
            </w:r>
            <w:r>
              <w:t xml:space="preserve">,</w:t>
            </w:r>
            <w:r>
              <w:t xml:space="preserve">436 문자</w:t>
            </w:r>
          </w:p>
        </w:tc>
      </w:tr>
      <w:tr>
        <w:tc>
          <w:tcPr/>
          <w:p>
            <w:pPr>
              <w:pStyle w:val="Compact"/>
              <w:jc w:val="left"/>
            </w:pPr>
            <w:r>
              <w:t xml:space="preserve">중앙값</w:t>
            </w:r>
          </w:p>
        </w:tc>
        <w:tc>
          <w:tcPr/>
          <w:p>
            <w:pPr>
              <w:pStyle w:val="Compact"/>
              <w:jc w:val="right"/>
            </w:pPr>
            <w:r>
              <w:t xml:space="preserve">772 문자</w:t>
            </w:r>
          </w:p>
        </w:tc>
      </w:tr>
      <w:tr>
        <w:tc>
          <w:tcPr/>
          <w:p>
            <w:pPr>
              <w:pStyle w:val="Compact"/>
              <w:jc w:val="left"/>
            </w:pPr>
            <w:r>
              <w:t xml:space="preserve">표준편차</w:t>
            </w:r>
          </w:p>
        </w:tc>
        <w:tc>
          <w:tcPr/>
          <w:p>
            <w:pPr>
              <w:pStyle w:val="Compact"/>
              <w:jc w:val="right"/>
            </w:pPr>
            <w:r>
              <w:t xml:space="preserve">2</w:t>
            </w:r>
            <w:r>
              <w:t xml:space="preserve">,</w:t>
            </w:r>
            <w:r>
              <w:t xml:space="preserve">431 문자</w:t>
            </w:r>
          </w:p>
        </w:tc>
      </w:tr>
      <w:tr>
        <w:tc>
          <w:tcPr/>
          <w:p>
            <w:pPr>
              <w:pStyle w:val="Compact"/>
              <w:jc w:val="left"/>
            </w:pPr>
            <w:r>
              <w:t xml:space="preserve">최소 / 최대</w:t>
            </w:r>
          </w:p>
        </w:tc>
        <w:tc>
          <w:tcPr/>
          <w:p>
            <w:pPr>
              <w:pStyle w:val="Compact"/>
              <w:jc w:val="right"/>
            </w:pPr>
            <w:r>
              <w:t xml:space="preserve">0 / 15</w:t>
            </w:r>
            <w:r>
              <w:t xml:space="preserve">,</w:t>
            </w:r>
            <w:r>
              <w:t xml:space="preserve">641 문자</w:t>
            </w:r>
          </w:p>
        </w:tc>
      </w:tr>
      <w:tr>
        <w:tc>
          <w:tcPr>
            <w:gridSpan w:val="2"/>
          </w:tcPr>
          <w:p>
            <w:pPr>
              <w:pStyle w:val="Compact"/>
              <w:jc w:val="left"/>
            </w:pPr>
            <w:r>
              <w:rPr>
                <w:i/>
                <w:iCs/>
              </w:rPr>
              <w:t xml:space="preserve">문자 유형(분류된 문자 기준)</w:t>
            </w:r>
          </w:p>
        </w:tc>
      </w:tr>
      <w:tr>
        <w:tc>
          <w:tcPr/>
          <w:p>
            <w:pPr>
              <w:pStyle w:val="Compact"/>
              <w:jc w:val="left"/>
            </w:pPr>
            <w:r>
              <w:t xml:space="preserve">한국어(한글)</w:t>
            </w:r>
          </w:p>
        </w:tc>
        <w:tc>
          <w:tcPr/>
          <w:p>
            <w:pPr>
              <w:pStyle w:val="Compact"/>
              <w:jc w:val="right"/>
            </w:pPr>
            <w:r>
              <w:t xml:space="preserve">77.2%</w:t>
            </w:r>
          </w:p>
        </w:tc>
      </w:tr>
      <w:tr>
        <w:tc>
          <w:tcPr/>
          <w:p>
            <w:pPr>
              <w:pStyle w:val="Compact"/>
              <w:jc w:val="left"/>
            </w:pPr>
            <w:r>
              <w:t xml:space="preserve">라틴어</w:t>
            </w:r>
          </w:p>
        </w:tc>
        <w:tc>
          <w:tcPr/>
          <w:p>
            <w:pPr>
              <w:pStyle w:val="Compact"/>
              <w:jc w:val="right"/>
            </w:pPr>
            <w:r>
              <w:t xml:space="preserve">18.3%</w:t>
            </w:r>
          </w:p>
        </w:tc>
      </w:tr>
      <w:tr>
        <w:tc>
          <w:tcPr/>
          <w:p>
            <w:pPr>
              <w:pStyle w:val="Compact"/>
              <w:jc w:val="left"/>
            </w:pPr>
            <w:r>
              <w:t xml:space="preserve">숫자</w:t>
            </w:r>
          </w:p>
        </w:tc>
        <w:tc>
          <w:tcPr/>
          <w:p>
            <w:pPr>
              <w:pStyle w:val="Compact"/>
              <w:jc w:val="right"/>
            </w:pPr>
            <w:r>
              <w:t xml:space="preserve">4.5%</w:t>
            </w:r>
          </w:p>
        </w:tc>
      </w:tr>
    </w:tbl>
    <w:bookmarkEnd w:id="41"/>
    <w:bookmarkStart w:id="45" w:name="fig:section_coverage"/>
    <w:p>
      <w:pPr>
        <w:pStyle w:val="CaptionedFigure"/>
      </w:pPr>
      <w:r>
        <w:drawing>
          <wp:inline>
            <wp:extent cx="5334000" cy="2415988"/>
            <wp:effectExtent b="0" l="0" r="0" t="0"/>
            <wp:docPr descr="" title="" id="43" name="Picture"/>
            <a:graphic>
              <a:graphicData uri="http://schemas.openxmlformats.org/drawingml/2006/picture">
                <pic:pic>
                  <pic:nvPicPr>
                    <pic:cNvPr descr="fig_section_coverage_ko.png" id="44" name="Picture"/>
                    <pic:cNvPicPr>
                      <a:picLocks noChangeArrowheads="1" noChangeAspect="1"/>
                    </pic:cNvPicPr>
                  </pic:nvPicPr>
                  <pic:blipFill>
                    <a:blip r:embed="rId42"/>
                    <a:stretch>
                      <a:fillRect/>
                    </a:stretch>
                  </pic:blipFill>
                  <pic:spPr bwMode="auto">
                    <a:xfrm>
                      <a:off x="0" y="0"/>
                      <a:ext cx="5334000" cy="2415988"/>
                    </a:xfrm>
                    <a:prstGeom prst="rect">
                      <a:avLst/>
                    </a:prstGeom>
                    <a:noFill/>
                    <a:ln w="9525">
                      <a:noFill/>
                      <a:headEnd/>
                      <a:tailEnd/>
                    </a:ln>
                  </pic:spPr>
                </pic:pic>
              </a:graphicData>
            </a:graphic>
          </wp:inline>
        </w:drawing>
      </w:r>
    </w:p>
    <w:p>
      <w:pPr>
        <w:pStyle w:val="ImageCaption"/>
      </w:pPr>
      <w:r>
        <w:t xml:space="preserve">KOSHA가 정의한 16개 MSDS 섹션에 대한 공개 데이터셋의 섹션별 커버리지. (a) 각 섹션에 비어 있지 않은 본문을 가진 화학물질 수. 1번(화학제품/회사 정보), 3번(구성성분), 8번(노출방지), 14번(운송)은 사실상 모든 화학물질에 채워져 있고, 규제·물리화학 상세 섹션은 원본 KOSHA 기록이 자료 없음 표시가 아닌 실내용을 담은 경우에만 채워져 있다. (b) 각 섹션의 평균 한국어 본문 길이(섹션이 비어 있지 않은 경우 조건부).</w:t>
      </w:r>
    </w:p>
    <w:bookmarkEnd w:id="45"/>
    <w:bookmarkEnd w:id="46"/>
    <w:bookmarkStart w:id="48" w:name="ghs-픽토그램-변환"/>
    <w:p>
      <w:pPr>
        <w:pStyle w:val="Heading2"/>
      </w:pPr>
      <w:r>
        <w:t xml:space="preserve">GHS 픽토그램 변환</w:t>
      </w:r>
    </w:p>
    <w:p>
      <w:pPr>
        <w:pStyle w:val="FirstParagraph"/>
      </w:pPr>
      <w:r>
        <w:t xml:space="preserve">원본 MSDS 데이터는 GHS 유해성 픽토그램을 이미지 파일명(예:</w:t>
      </w:r>
      <w:r>
        <w:t xml:space="preserve"> </w:t>
      </w:r>
      <w:r>
        <w:t xml:space="preserve">“GHS06.gif”</w:t>
      </w:r>
      <w:r>
        <w:t xml:space="preserve">)으로 참조하며, 이는 점자에서는 무의미하다. 본 시스템은 이를</w:t>
      </w:r>
      <w:r>
        <w:t xml:space="preserve"> </w:t>
      </w:r>
      <w:hyperlink w:anchor="tab:ghs">
        <w:r>
          <w:rPr>
            <w:rStyle w:val="Hyperlink"/>
          </w:rPr>
          <w:t xml:space="preserve">5</w:t>
        </w:r>
      </w:hyperlink>
      <w:r>
        <w:t xml:space="preserve">표와 같이 서술적 한국어 본문으로 해소한다. 데이터베이스에 출현하는 147개 고유 H/P 문구 코드(H 문구 63종, P 문구 84종)가 모두 해소되어 인코딩된다.</w:t>
      </w:r>
    </w:p>
    <w:bookmarkStart w:id="47" w:name="tab:ghs"/>
    <w:p>
      <w:pPr>
        <w:pStyle w:val="TableCaption"/>
      </w:pPr>
      <w:r>
        <w:t xml:space="preserve">GHS 픽토그램 한국어 본문 변환</w:t>
      </w:r>
    </w:p>
    <w:tbl>
      <w:tblPr>
        <w:tblStyle w:val="Table"/>
        <w:tblW w:type="auto" w:w="0"/>
        <w:tblLook w:firstRow="1" w:lastRow="0" w:firstColumn="0" w:lastColumn="0" w:noHBand="0" w:noVBand="0" w:val="0020"/>
        <w:tblCaption w:val="GHS 픽토그램 한국어 본문 변환"/>
      </w:tblPr>
      <w:tblGrid>
        <w:gridCol w:w="2640"/>
        <w:gridCol w:w="2640"/>
        <w:gridCol w:w="2640"/>
      </w:tblGrid>
      <w:tr>
        <w:trPr>
          <w:tblHeader w:val="on"/>
        </w:trPr>
        <w:tc>
          <w:tcPr/>
          <w:p>
            <w:pPr>
              <w:pStyle w:val="Compact"/>
              <w:jc w:val="left"/>
            </w:pPr>
            <w:r>
              <w:t xml:space="preserve">코드</w:t>
            </w:r>
          </w:p>
        </w:tc>
        <w:tc>
          <w:tcPr/>
          <w:p>
            <w:pPr>
              <w:pStyle w:val="Compact"/>
              <w:jc w:val="left"/>
            </w:pPr>
            <w:r>
              <w:t xml:space="preserve">영어</w:t>
            </w:r>
          </w:p>
        </w:tc>
        <w:tc>
          <w:tcPr/>
          <w:p>
            <w:pPr>
              <w:pStyle w:val="Compact"/>
              <w:jc w:val="left"/>
            </w:pPr>
            <w:r>
              <w:t xml:space="preserve">한국어</w:t>
            </w:r>
          </w:p>
        </w:tc>
      </w:tr>
      <w:tr>
        <w:tc>
          <w:tcPr/>
          <w:p>
            <w:pPr>
              <w:pStyle w:val="Compact"/>
              <w:jc w:val="left"/>
            </w:pPr>
            <w:r>
              <w:t xml:space="preserve">GHS01</w:t>
            </w:r>
          </w:p>
        </w:tc>
        <w:tc>
          <w:tcPr/>
          <w:p>
            <w:pPr>
              <w:pStyle w:val="Compact"/>
              <w:jc w:val="left"/>
            </w:pPr>
            <w:r>
              <w:t xml:space="preserve">Explosive</w:t>
            </w:r>
          </w:p>
        </w:tc>
        <w:tc>
          <w:tcPr/>
          <w:p>
            <w:pPr>
              <w:pStyle w:val="Compact"/>
              <w:jc w:val="left"/>
            </w:pPr>
            <w:r>
              <w:t xml:space="preserve">폭발성</w:t>
            </w:r>
          </w:p>
        </w:tc>
      </w:tr>
      <w:tr>
        <w:tc>
          <w:tcPr/>
          <w:p>
            <w:pPr>
              <w:pStyle w:val="Compact"/>
              <w:jc w:val="left"/>
            </w:pPr>
            <w:r>
              <w:t xml:space="preserve">GHS02</w:t>
            </w:r>
          </w:p>
        </w:tc>
        <w:tc>
          <w:tcPr/>
          <w:p>
            <w:pPr>
              <w:pStyle w:val="Compact"/>
              <w:jc w:val="left"/>
            </w:pPr>
            <w:r>
              <w:t xml:space="preserve">Flammable</w:t>
            </w:r>
          </w:p>
        </w:tc>
        <w:tc>
          <w:tcPr/>
          <w:p>
            <w:pPr>
              <w:pStyle w:val="Compact"/>
              <w:jc w:val="left"/>
            </w:pPr>
            <w:r>
              <w:t xml:space="preserve">인화성</w:t>
            </w:r>
          </w:p>
        </w:tc>
      </w:tr>
      <w:tr>
        <w:tc>
          <w:tcPr/>
          <w:p>
            <w:pPr>
              <w:pStyle w:val="Compact"/>
              <w:jc w:val="left"/>
            </w:pPr>
            <w:r>
              <w:t xml:space="preserve">GHS03</w:t>
            </w:r>
          </w:p>
        </w:tc>
        <w:tc>
          <w:tcPr/>
          <w:p>
            <w:pPr>
              <w:pStyle w:val="Compact"/>
              <w:jc w:val="left"/>
            </w:pPr>
            <w:r>
              <w:t xml:space="preserve">Oxidizing</w:t>
            </w:r>
          </w:p>
        </w:tc>
        <w:tc>
          <w:tcPr/>
          <w:p>
            <w:pPr>
              <w:pStyle w:val="Compact"/>
              <w:jc w:val="left"/>
            </w:pPr>
            <w:r>
              <w:t xml:space="preserve">산화성</w:t>
            </w:r>
          </w:p>
        </w:tc>
      </w:tr>
      <w:tr>
        <w:tc>
          <w:tcPr/>
          <w:p>
            <w:pPr>
              <w:pStyle w:val="Compact"/>
              <w:jc w:val="left"/>
            </w:pPr>
            <w:r>
              <w:t xml:space="preserve">GHS04</w:t>
            </w:r>
          </w:p>
        </w:tc>
        <w:tc>
          <w:tcPr/>
          <w:p>
            <w:pPr>
              <w:pStyle w:val="Compact"/>
              <w:jc w:val="left"/>
            </w:pPr>
            <w:r>
              <w:t xml:space="preserve">Compressed gas</w:t>
            </w:r>
          </w:p>
        </w:tc>
        <w:tc>
          <w:tcPr/>
          <w:p>
            <w:pPr>
              <w:pStyle w:val="Compact"/>
              <w:jc w:val="left"/>
            </w:pPr>
            <w:r>
              <w:t xml:space="preserve">고압가스</w:t>
            </w:r>
          </w:p>
        </w:tc>
      </w:tr>
      <w:tr>
        <w:tc>
          <w:tcPr/>
          <w:p>
            <w:pPr>
              <w:pStyle w:val="Compact"/>
              <w:jc w:val="left"/>
            </w:pPr>
            <w:r>
              <w:t xml:space="preserve">GHS05</w:t>
            </w:r>
          </w:p>
        </w:tc>
        <w:tc>
          <w:tcPr/>
          <w:p>
            <w:pPr>
              <w:pStyle w:val="Compact"/>
              <w:jc w:val="left"/>
            </w:pPr>
            <w:r>
              <w:t xml:space="preserve">Corrosive</w:t>
            </w:r>
          </w:p>
        </w:tc>
        <w:tc>
          <w:tcPr/>
          <w:p>
            <w:pPr>
              <w:pStyle w:val="Compact"/>
              <w:jc w:val="left"/>
            </w:pPr>
            <w:r>
              <w:t xml:space="preserve">부식성</w:t>
            </w:r>
          </w:p>
        </w:tc>
      </w:tr>
      <w:tr>
        <w:tc>
          <w:tcPr/>
          <w:p>
            <w:pPr>
              <w:pStyle w:val="Compact"/>
              <w:jc w:val="left"/>
            </w:pPr>
            <w:r>
              <w:t xml:space="preserve">GHS06</w:t>
            </w:r>
          </w:p>
        </w:tc>
        <w:tc>
          <w:tcPr/>
          <w:p>
            <w:pPr>
              <w:pStyle w:val="Compact"/>
              <w:jc w:val="left"/>
            </w:pPr>
            <w:r>
              <w:t xml:space="preserve">Acute toxicity</w:t>
            </w:r>
          </w:p>
        </w:tc>
        <w:tc>
          <w:tcPr/>
          <w:p>
            <w:pPr>
              <w:pStyle w:val="Compact"/>
              <w:jc w:val="left"/>
            </w:pPr>
            <w:r>
              <w:t xml:space="preserve">급성독성</w:t>
            </w:r>
          </w:p>
        </w:tc>
      </w:tr>
      <w:tr>
        <w:tc>
          <w:tcPr/>
          <w:p>
            <w:pPr>
              <w:pStyle w:val="Compact"/>
              <w:jc w:val="left"/>
            </w:pPr>
            <w:r>
              <w:t xml:space="preserve">GHS07</w:t>
            </w:r>
          </w:p>
        </w:tc>
        <w:tc>
          <w:tcPr/>
          <w:p>
            <w:pPr>
              <w:pStyle w:val="Compact"/>
              <w:jc w:val="left"/>
            </w:pPr>
            <w:r>
              <w:t xml:space="preserve">Irritant</w:t>
            </w:r>
          </w:p>
        </w:tc>
        <w:tc>
          <w:tcPr/>
          <w:p>
            <w:pPr>
              <w:pStyle w:val="Compact"/>
              <w:jc w:val="left"/>
            </w:pPr>
            <w:r>
              <w:t xml:space="preserve">경고</w:t>
            </w:r>
          </w:p>
        </w:tc>
      </w:tr>
      <w:tr>
        <w:tc>
          <w:tcPr/>
          <w:p>
            <w:pPr>
              <w:pStyle w:val="Compact"/>
              <w:jc w:val="left"/>
            </w:pPr>
            <w:r>
              <w:t xml:space="preserve">GHS08</w:t>
            </w:r>
          </w:p>
        </w:tc>
        <w:tc>
          <w:tcPr/>
          <w:p>
            <w:pPr>
              <w:pStyle w:val="Compact"/>
              <w:jc w:val="left"/>
            </w:pPr>
            <w:r>
              <w:t xml:space="preserve">Health hazard</w:t>
            </w:r>
          </w:p>
        </w:tc>
        <w:tc>
          <w:tcPr/>
          <w:p>
            <w:pPr>
              <w:pStyle w:val="Compact"/>
              <w:jc w:val="left"/>
            </w:pPr>
            <w:r>
              <w:t xml:space="preserve">건강유해성</w:t>
            </w:r>
          </w:p>
        </w:tc>
      </w:tr>
      <w:tr>
        <w:tc>
          <w:tcPr/>
          <w:p>
            <w:pPr>
              <w:pStyle w:val="Compact"/>
              <w:jc w:val="left"/>
            </w:pPr>
            <w:r>
              <w:t xml:space="preserve">GHS09</w:t>
            </w:r>
          </w:p>
        </w:tc>
        <w:tc>
          <w:tcPr/>
          <w:p>
            <w:pPr>
              <w:pStyle w:val="Compact"/>
              <w:jc w:val="left"/>
            </w:pPr>
            <w:r>
              <w:t xml:space="preserve">Environmental</w:t>
            </w:r>
          </w:p>
        </w:tc>
        <w:tc>
          <w:tcPr/>
          <w:p>
            <w:pPr>
              <w:pStyle w:val="Compact"/>
              <w:jc w:val="left"/>
            </w:pPr>
            <w:r>
              <w:t xml:space="preserve">수생환경유해성</w:t>
            </w:r>
          </w:p>
        </w:tc>
      </w:tr>
    </w:tbl>
    <w:bookmarkEnd w:id="47"/>
    <w:bookmarkEnd w:id="48"/>
    <w:bookmarkStart w:id="49" w:name="공개"/>
    <w:p>
      <w:pPr>
        <w:pStyle w:val="Heading2"/>
      </w:pPr>
      <w:r>
        <w:t xml:space="preserve">공개</w:t>
      </w:r>
    </w:p>
    <w:p>
      <w:pPr>
        <w:pStyle w:val="FirstParagraph"/>
      </w:pPr>
      <w:r>
        <w:t xml:space="preserve">전체 코퍼스는 HuggingFace 호환 스키마의 단일 JSONL 파일(943 MB)로 공개되며, 출처, 라이선스, 섹션 스키마, 사용 의도를 명시한 데이터셋 카드를 포함한다. 인코더, 디코더, 참조 서비스는 오픈소스 코드로 공개된다.</w:t>
      </w:r>
    </w:p>
    <w:bookmarkEnd w:id="49"/>
    <w:bookmarkEnd w:id="50"/>
    <w:bookmarkStart w:id="56" w:name="sec:validation"/>
    <w:p>
      <w:pPr>
        <w:pStyle w:val="Heading1"/>
      </w:pPr>
      <w:r>
        <w:t xml:space="preserve">검증</w:t>
      </w:r>
    </w:p>
    <w:bookmarkStart w:id="51" w:name="결정론적-정확성"/>
    <w:p>
      <w:pPr>
        <w:pStyle w:val="Heading2"/>
      </w:pPr>
      <w:r>
        <w:t xml:space="preserve">결정론적 정확성</w:t>
      </w:r>
    </w:p>
    <w:p>
      <w:pPr>
        <w:pStyle w:val="FirstParagraph"/>
      </w:pPr>
      <w:r>
        <w:t xml:space="preserve">2017년 규정 하에서의 한국 점자 인코딩은 결정론적이고 규칙으로 정의된 변환이다. 각 한글 음절은 모호함 없이 초성·중성·선택적 종성으로 분해되며 각각이 고정 점형에 대응한다. 따라서 정확성은 매핑표와 그 적용을 검증하는 문제로 환원되며, 출력별 인간 점역사 평가를 요구하지 않는다. 표본 기반 인간 검증이 전수 커버리지를 달성할 수 없는 인프라 규모의 코퍼스에서 이는 중요한 성질이다.</w:t>
      </w:r>
    </w:p>
    <w:bookmarkEnd w:id="51"/>
    <w:bookmarkStart w:id="53" w:name="교차-참조-검증"/>
    <w:p>
      <w:pPr>
        <w:pStyle w:val="Heading2"/>
      </w:pPr>
      <w:r>
        <w:t xml:space="preserve">교차 참조 검증</w:t>
      </w:r>
    </w:p>
    <w:p>
      <w:pPr>
        <w:pStyle w:val="FirstParagraph"/>
      </w:pPr>
      <w:r>
        <w:t xml:space="preserve">인코더는 독립적으로 개발된 오픈소스 한국 점자 변환기</w:t>
      </w:r>
      <w:r>
        <w:t xml:space="preserve"> </w:t>
      </w:r>
      <w:r>
        <w:t xml:space="preserve">와의 비교를 통해 검증되었다.</w:t>
      </w:r>
      <w:r>
        <w:t xml:space="preserve"> </w:t>
      </w:r>
      <w:hyperlink w:anchor="tab:validation">
        <w:r>
          <w:rPr>
            <w:rStyle w:val="Hyperlink"/>
          </w:rPr>
          <w:t xml:space="preserve">6</w:t>
        </w:r>
      </w:hyperlink>
      <w:r>
        <w:t xml:space="preserve">표가 그 결과를 보여 준다.</w:t>
      </w:r>
    </w:p>
    <w:bookmarkStart w:id="52" w:name="tab:validation"/>
    <w:p>
      <w:pPr>
        <w:pStyle w:val="TableCaption"/>
      </w:pPr>
      <w:r>
        <w:t xml:space="preserve">교차 참조 검증 결과</w:t>
      </w:r>
    </w:p>
    <w:tbl>
      <w:tblPr>
        <w:tblStyle w:val="Table"/>
        <w:tblW w:type="auto" w:w="0"/>
        <w:tblLook w:firstRow="1" w:lastRow="0" w:firstColumn="0" w:lastColumn="0" w:noHBand="0" w:noVBand="0" w:val="0020"/>
        <w:tblCaption w:val="교차 참조 검증 결과"/>
      </w:tblPr>
      <w:tblGrid>
        <w:gridCol w:w="2640"/>
        <w:gridCol w:w="2640"/>
        <w:gridCol w:w="2640"/>
      </w:tblGrid>
      <w:tr>
        <w:trPr>
          <w:tblHeader w:val="on"/>
        </w:trPr>
        <w:tc>
          <w:tcPr/>
          <w:p>
            <w:pPr>
              <w:pStyle w:val="Compact"/>
              <w:jc w:val="left"/>
            </w:pPr>
            <w:r>
              <w:t xml:space="preserve">검증 대상</w:t>
            </w:r>
          </w:p>
        </w:tc>
        <w:tc>
          <w:tcPr/>
          <w:p>
            <w:pPr>
              <w:pStyle w:val="Compact"/>
              <w:jc w:val="right"/>
            </w:pPr>
            <w:r>
              <w:t xml:space="preserve">표본 수</w:t>
            </w:r>
          </w:p>
        </w:tc>
        <w:tc>
          <w:tcPr/>
          <w:p>
            <w:pPr>
              <w:pStyle w:val="Compact"/>
              <w:jc w:val="right"/>
            </w:pPr>
            <w:r>
              <w:t xml:space="preserve">일치율</w:t>
            </w:r>
          </w:p>
        </w:tc>
      </w:tr>
      <w:tr>
        <w:tc>
          <w:tcPr/>
          <w:p>
            <w:pPr>
              <w:pStyle w:val="Compact"/>
              <w:jc w:val="left"/>
            </w:pPr>
            <w:r>
              <w:t xml:space="preserve">기본 한글 음절</w:t>
            </w:r>
          </w:p>
        </w:tc>
        <w:tc>
          <w:tcPr/>
          <w:p>
            <w:pPr>
              <w:pStyle w:val="Compact"/>
              <w:jc w:val="right"/>
            </w:pPr>
            <w:r>
              <w:t xml:space="preserve">41</w:t>
            </w:r>
          </w:p>
        </w:tc>
        <w:tc>
          <w:tcPr/>
          <w:p>
            <w:pPr>
              <w:pStyle w:val="Compact"/>
              <w:jc w:val="right"/>
            </w:pPr>
            <w:r>
              <w:t xml:space="preserve">100%</w:t>
            </w:r>
          </w:p>
        </w:tc>
      </w:tr>
      <w:tr>
        <w:tc>
          <w:tcPr/>
          <w:p>
            <w:pPr>
              <w:pStyle w:val="Compact"/>
              <w:jc w:val="left"/>
            </w:pPr>
            <w:r>
              <w:t xml:space="preserve">한국어 골든 문장</w:t>
            </w:r>
          </w:p>
        </w:tc>
        <w:tc>
          <w:tcPr/>
          <w:p>
            <w:pPr>
              <w:pStyle w:val="Compact"/>
              <w:jc w:val="right"/>
            </w:pPr>
            <w:r>
              <w:t xml:space="preserve">45</w:t>
            </w:r>
          </w:p>
        </w:tc>
        <w:tc>
          <w:tcPr/>
          <w:p>
            <w:pPr>
              <w:pStyle w:val="Compact"/>
              <w:jc w:val="right"/>
            </w:pPr>
            <w:r>
              <w:t xml:space="preserve">100%</w:t>
            </w:r>
          </w:p>
        </w:tc>
      </w:tr>
      <w:tr>
        <w:tc>
          <w:tcPr/>
          <w:p>
            <w:pPr>
              <w:pStyle w:val="Compact"/>
              <w:jc w:val="left"/>
            </w:pPr>
            <w:r>
              <w:t xml:space="preserve">MSDS 화학물질명</w:t>
            </w:r>
          </w:p>
        </w:tc>
        <w:tc>
          <w:tcPr/>
          <w:p>
            <w:pPr>
              <w:pStyle w:val="Compact"/>
              <w:jc w:val="right"/>
            </w:pPr>
            <w:r>
              <w:t xml:space="preserve">356</w:t>
            </w:r>
          </w:p>
        </w:tc>
        <w:tc>
          <w:tcPr/>
          <w:p>
            <w:pPr>
              <w:pStyle w:val="Compact"/>
              <w:jc w:val="right"/>
            </w:pPr>
            <w:r>
              <w:t xml:space="preserve">100%</w:t>
            </w:r>
          </w:p>
        </w:tc>
      </w:tr>
      <w:tr>
        <w:tc>
          <w:tcPr/>
          <w:p>
            <w:pPr>
              <w:pStyle w:val="Compact"/>
              <w:jc w:val="left"/>
            </w:pPr>
            <w:r>
              <w:rPr>
                <w:b/>
                <w:bCs/>
              </w:rPr>
              <w:t xml:space="preserve">합계</w:t>
            </w:r>
          </w:p>
        </w:tc>
        <w:tc>
          <w:tcPr/>
          <w:p>
            <w:pPr>
              <w:pStyle w:val="Compact"/>
              <w:jc w:val="right"/>
            </w:pPr>
            <w:r>
              <w:rPr>
                <w:b/>
                <w:bCs/>
              </w:rPr>
              <w:t xml:space="preserve">442</w:t>
            </w:r>
          </w:p>
        </w:tc>
        <w:tc>
          <w:tcPr/>
          <w:p>
            <w:pPr>
              <w:pStyle w:val="Compact"/>
              <w:jc w:val="right"/>
            </w:pPr>
            <w:r>
              <w:rPr>
                <w:b/>
                <w:bCs/>
              </w:rPr>
              <w:t xml:space="preserve">100%</w:t>
            </w:r>
          </w:p>
        </w:tc>
      </w:tr>
    </w:tbl>
    <w:bookmarkEnd w:id="52"/>
    <w:bookmarkEnd w:id="53"/>
    <w:bookmarkStart w:id="54" w:name="인코딩-속성"/>
    <w:p>
      <w:pPr>
        <w:pStyle w:val="Heading2"/>
      </w:pPr>
      <w:r>
        <w:t xml:space="preserve">인코딩 속성</w:t>
      </w:r>
    </w:p>
    <w:p>
      <w:pPr>
        <w:numPr>
          <w:ilvl w:val="0"/>
          <w:numId w:val="1005"/>
        </w:numPr>
      </w:pPr>
      <w:r>
        <w:rPr>
          <w:b/>
          <w:bCs/>
        </w:rPr>
        <w:t xml:space="preserve">결정론적</w:t>
      </w:r>
      <w:r>
        <w:t xml:space="preserve">: 동일 입력은 항상 동일 출력을 생성한다.</w:t>
      </w:r>
    </w:p>
    <w:p>
      <w:pPr>
        <w:numPr>
          <w:ilvl w:val="0"/>
          <w:numId w:val="1005"/>
        </w:numPr>
      </w:pPr>
      <w:r>
        <w:rPr>
          <w:b/>
          <w:bCs/>
        </w:rPr>
        <w:t xml:space="preserve">단사(injective)</w:t>
      </w:r>
      <w:r>
        <w:t xml:space="preserve">: 서로 다른 한글 음절은 서로 다른 한국 점자 문자열을 생성한다(한글 유니코드 분해를 통한 알고리즘적 검증, 그리고 442개 교차 참조 입력 전반에서 확인).</w:t>
      </w:r>
    </w:p>
    <w:p>
      <w:pPr>
        <w:numPr>
          <w:ilvl w:val="0"/>
          <w:numId w:val="1005"/>
        </w:numPr>
      </w:pPr>
      <w:r>
        <w:rPr>
          <w:b/>
          <w:bCs/>
        </w:rPr>
        <w:t xml:space="preserve">표준 준수</w:t>
      </w:r>
      <w:r>
        <w:t xml:space="preserve">: 모든 점형이 2017년 한국 점자 규정</w:t>
      </w:r>
      <w:r>
        <w:t xml:space="preserve"> </w:t>
      </w:r>
      <w:r>
        <w:t xml:space="preserve">과 일치한다.</w:t>
      </w:r>
    </w:p>
    <w:bookmarkEnd w:id="54"/>
    <w:bookmarkStart w:id="55" w:name="검증의-범위"/>
    <w:p>
      <w:pPr>
        <w:pStyle w:val="Heading2"/>
      </w:pPr>
      <w:r>
        <w:t xml:space="preserve">검증의 범위</w:t>
      </w:r>
    </w:p>
    <w:p>
      <w:pPr>
        <w:pStyle w:val="FirstParagraph"/>
      </w:pPr>
      <w:r>
        <w:t xml:space="preserve">본 검증은 인코딩 매핑이 참조 구현 및 공포된 규정과 일치함을 확립한다. 보고된 한국어 라운드트립 수치는 명시적 한국어 디스패치 하의 디코더 경로 검증으로 해석되며, 인코더의 정확성을 부정하는 증거로 사용되지 않는다. 현재 한국어 디코더가 혼합 표기·문장 부호·괄호·인용·숫자열에 대해 강화된 상태에서, 공개 골든 셋은 45/45로 라운드트립하며, 지속 스트레스 코퍼스는 27개 혼합 형식 사례에서 0건의 실패를, 동봉 샘플 DB에 대한 반복 무작위 표본 점검에서도 0건의 실패를 보고한다. 본 연구는 시각장애 독자를 대상으로 한 읽기 이해 사용자 연구를 포함하지 않으며, 이를 필수 후속 작업으로 명시한다. 한국 2종(축약) 점자는 구현되지 않았다. 본 코퍼스는 전반에 걸쳐 1종 점자이다.</w:t>
      </w:r>
    </w:p>
    <w:bookmarkEnd w:id="55"/>
    <w:bookmarkEnd w:id="56"/>
    <w:bookmarkStart w:id="64" w:name="sec:webservice"/>
    <w:p>
      <w:pPr>
        <w:pStyle w:val="Heading1"/>
      </w:pPr>
      <w:r>
        <w:t xml:space="preserve">참조 배포</w:t>
      </w:r>
    </w:p>
    <w:bookmarkStart w:id="57" w:name="구조"/>
    <w:p>
      <w:pPr>
        <w:pStyle w:val="Heading2"/>
      </w:pPr>
      <w:r>
        <w:t xml:space="preserve">구조</w:t>
      </w:r>
    </w:p>
    <w:p>
      <w:pPr>
        <w:pStyle w:val="FirstParagraph"/>
      </w:pPr>
      <w:r>
        <w:t xml:space="preserve">웹 서비스는 단일 페이지 HTML/JavaScript 프런트엔드를 갖춘 FastAPI(Python)로 구축되어 있다. SQLite가 사전 수집된 MSDS XML을 저장하며, 점자 변환은 요청 시 수행되어 화학물질당 일반적으로 500 ms 이하로 응답한다.</w:t>
      </w:r>
    </w:p>
    <w:bookmarkEnd w:id="57"/>
    <w:bookmarkStart w:id="58" w:name="api-엔드포인트"/>
    <w:p>
      <w:pPr>
        <w:pStyle w:val="Heading2"/>
      </w:pPr>
      <w:r>
        <w:t xml:space="preserve">API 엔드포인트</w:t>
      </w:r>
    </w:p>
    <w:p>
      <w:pPr>
        <w:numPr>
          <w:ilvl w:val="0"/>
          <w:numId w:val="1006"/>
        </w:numPr>
      </w:pPr>
      <w:r>
        <w:rPr>
          <w:rStyle w:val="VerbatimChar"/>
        </w:rPr>
        <w:t xml:space="preserve">GET /api/stats</w:t>
      </w:r>
      <w:r>
        <w:t xml:space="preserve"> </w:t>
      </w:r>
      <w:r>
        <w:t xml:space="preserve">– 코퍼스 통계</w:t>
      </w:r>
    </w:p>
    <w:p>
      <w:pPr>
        <w:numPr>
          <w:ilvl w:val="0"/>
          <w:numId w:val="1006"/>
        </w:numPr>
      </w:pPr>
      <w:r>
        <w:rPr>
          <w:rStyle w:val="VerbatimChar"/>
        </w:rPr>
        <w:t xml:space="preserve">GET /api/chemicals?search=</w:t>
      </w:r>
      <w:r>
        <w:t xml:space="preserve"> </w:t>
      </w:r>
      <w:r>
        <w:t xml:space="preserve">– 한국어 명칭 또는 CAS 번호로 검색</w:t>
      </w:r>
    </w:p>
    <w:p>
      <w:pPr>
        <w:numPr>
          <w:ilvl w:val="0"/>
          <w:numId w:val="1006"/>
        </w:numPr>
      </w:pPr>
      <w:r>
        <w:rPr>
          <w:rStyle w:val="VerbatimChar"/>
        </w:rPr>
        <w:t xml:space="preserve">GET /api/chemicals/{id}</w:t>
      </w:r>
      <w:r>
        <w:t xml:space="preserve"> </w:t>
      </w:r>
      <w:r>
        <w:t xml:space="preserve">– 전체 MSDS 본문</w:t>
      </w:r>
    </w:p>
    <w:p>
      <w:pPr>
        <w:numPr>
          <w:ilvl w:val="0"/>
          <w:numId w:val="1006"/>
        </w:numPr>
      </w:pPr>
      <w:r>
        <w:rPr>
          <w:rStyle w:val="VerbatimChar"/>
        </w:rPr>
        <w:t xml:space="preserve">GET /api/chemicals/{id}/braille</w:t>
      </w:r>
      <w:r>
        <w:t xml:space="preserve"> </w:t>
      </w:r>
      <w:r>
        <w:t xml:space="preserve">– 한국 점자가 포함된 MSDS</w:t>
      </w:r>
    </w:p>
    <w:p>
      <w:pPr>
        <w:numPr>
          <w:ilvl w:val="0"/>
          <w:numId w:val="1006"/>
        </w:numPr>
      </w:pPr>
      <w:r>
        <w:rPr>
          <w:rStyle w:val="VerbatimChar"/>
        </w:rPr>
        <w:t xml:space="preserve">GET /api/chemicals/{id}/braille.txt</w:t>
      </w:r>
      <w:r>
        <w:t xml:space="preserve"> </w:t>
      </w:r>
      <w:r>
        <w:t xml:space="preserve">– 유니코드 점자 다운로드</w:t>
      </w:r>
    </w:p>
    <w:p>
      <w:pPr>
        <w:numPr>
          <w:ilvl w:val="0"/>
          <w:numId w:val="1006"/>
        </w:numPr>
      </w:pPr>
      <w:r>
        <w:rPr>
          <w:rStyle w:val="VerbatimChar"/>
        </w:rPr>
        <w:t xml:space="preserve">GET /api/chemicals/{id}/braille.brf</w:t>
      </w:r>
      <w:r>
        <w:t xml:space="preserve"> </w:t>
      </w:r>
      <w:r>
        <w:t xml:space="preserve">– BRF(점자 프린터) 다운로드</w:t>
      </w:r>
    </w:p>
    <w:p>
      <w:pPr>
        <w:numPr>
          <w:ilvl w:val="0"/>
          <w:numId w:val="1006"/>
        </w:numPr>
      </w:pPr>
      <w:r>
        <w:rPr>
          <w:rStyle w:val="VerbatimChar"/>
        </w:rPr>
        <w:t xml:space="preserve">POST /api/convert</w:t>
      </w:r>
      <w:r>
        <w:t xml:space="preserve"> </w:t>
      </w:r>
      <w:r>
        <w:t xml:space="preserve">– 즉석 한국어</w:t>
      </w:r>
      <m:oMath>
        <m:r>
          <m:rPr>
            <m:sty m:val="p"/>
          </m:rPr>
          <m:t>→</m:t>
        </m:r>
      </m:oMath>
      <w:r>
        <w:t xml:space="preserve">점자 변환</w:t>
      </w:r>
    </w:p>
    <w:bookmarkEnd w:id="58"/>
    <w:bookmarkStart w:id="63" w:name="사용자-인터페이스와-소비-경로"/>
    <w:p>
      <w:pPr>
        <w:pStyle w:val="Heading2"/>
      </w:pPr>
      <w:r>
        <w:t xml:space="preserve">사용자 인터페이스와 소비 경로</w:t>
      </w:r>
    </w:p>
    <w:p>
      <w:pPr>
        <w:pStyle w:val="FirstParagraph"/>
      </w:pPr>
      <w:r>
        <w:t xml:space="preserve">시각적 좌우 병렬 뷰(</w:t>
      </w:r>
      <w:hyperlink w:anchor="fig:webui">
        <w:r>
          <w:rPr>
            <w:rStyle w:val="Hyperlink"/>
          </w:rPr>
          <w:t xml:space="preserve">5</w:t>
        </w:r>
      </w:hyperlink>
      <w:r>
        <w:t xml:space="preserve">그림)는, 점자 생산이 존재하며 한국어 원문과 일관됨을 확인해야 하는 비장애 이해관계자(규제기관, 조달 담당자, 감사관)를 위한 제시 표면이다. 점자 독자에게 기능적으로 중요한 출력은 다운로드 가능한 BRF와 유니코드 파일이다. 이들은 (1) 로컬 기기나 휴대전화에서 USB·블루투스로 연결한 점자 디스플레이, (2) 하드카피 생성을 위한 점자 프린터, (3) 데스크탑·모바일의 접근 가능한 읽기 소프트웨어로 직접 투입된다. 본 배포는 명시적으로 제품이 아닌 참조 구현이며, 그 목적은 코퍼스가 기존 보조 하드웨어·소프트웨어로 종단 간 소비 가능함을 시연하는 데 있다.</w:t>
      </w:r>
    </w:p>
    <w:bookmarkStart w:id="62" w:name="fig:webui"/>
    <w:p>
      <w:pPr>
        <w:pStyle w:val="CaptionedFigure"/>
      </w:pPr>
      <w:r>
        <w:drawing>
          <wp:inline>
            <wp:extent cx="5334000" cy="3564845"/>
            <wp:effectExtent b="0" l="0" r="0" t="0"/>
            <wp:docPr descr="" title="" id="60" name="Picture"/>
            <a:graphic>
              <a:graphicData uri="http://schemas.openxmlformats.org/drawingml/2006/picture">
                <pic:pic>
                  <pic:nvPicPr>
                    <pic:cNvPr descr="fig_webui.png" id="61" name="Picture"/>
                    <pic:cNvPicPr>
                      <a:picLocks noChangeArrowheads="1" noChangeAspect="1"/>
                    </pic:cNvPicPr>
                  </pic:nvPicPr>
                  <pic:blipFill>
                    <a:blip r:embed="rId59"/>
                    <a:stretch>
                      <a:fillRect/>
                    </a:stretch>
                  </pic:blipFill>
                  <pic:spPr bwMode="auto">
                    <a:xfrm>
                      <a:off x="0" y="0"/>
                      <a:ext cx="5334000" cy="3564845"/>
                    </a:xfrm>
                    <a:prstGeom prst="rect">
                      <a:avLst/>
                    </a:prstGeom>
                    <a:noFill/>
                    <a:ln w="9525">
                      <a:noFill/>
                      <a:headEnd/>
                      <a:tailEnd/>
                    </a:ln>
                  </pic:spPr>
                </pic:pic>
              </a:graphicData>
            </a:graphic>
          </wp:inline>
        </w:drawing>
      </w:r>
    </w:p>
    <w:p>
      <w:pPr>
        <w:pStyle w:val="ImageCaption"/>
      </w:pPr>
      <w:r>
        <w:t xml:space="preserve">화학물질 검색(상단), 결과 목록(좌측), 한국어 본문과 점자의 좌우 병렬 표시(우측)를 보여 주는 웹 서비스 사용자 인터페이스.</w:t>
      </w:r>
    </w:p>
    <w:bookmarkEnd w:id="62"/>
    <w:bookmarkEnd w:id="63"/>
    <w:bookmarkEnd w:id="64"/>
    <w:bookmarkStart w:id="70" w:name="sec:extensibility"/>
    <w:p>
      <w:pPr>
        <w:pStyle w:val="Heading1"/>
      </w:pPr>
      <w:r>
        <w:t xml:space="preserve">확장성</w:t>
      </w:r>
    </w:p>
    <w:p>
      <w:pPr>
        <w:pStyle w:val="FirstParagraph"/>
      </w:pPr>
      <w:r>
        <w:t xml:space="preserve">본 논문의 중심 주장 가운데 하나는 KOSHA-Braille가 종착점이 아니라 템플릿이라는 것이다. 우리는 이 주장을 현재 릴리스로 입증된</w:t>
      </w:r>
      <w:r>
        <w:t xml:space="preserve"> </w:t>
      </w:r>
      <w:r>
        <w:rPr>
          <w:i/>
          <w:iCs/>
        </w:rPr>
        <w:t xml:space="preserve">검증된 확장성</w:t>
      </w:r>
      <w:r>
        <w:t xml:space="preserve">(validated extensibility)과 아키텍처적으로 가능하지만 코퍼스 규모로는 아직 수행되지 않은</w:t>
      </w:r>
      <w:r>
        <w:t xml:space="preserve"> </w:t>
      </w:r>
      <w:r>
        <w:rPr>
          <w:i/>
          <w:iCs/>
        </w:rPr>
        <w:t xml:space="preserve">전망적 확장성</w:t>
      </w:r>
      <w:r>
        <w:t xml:space="preserve">(prospective extensibility)으로 분리하여, 증거와 전망의 경계를 명시한다.</w:t>
      </w:r>
    </w:p>
    <w:bookmarkStart w:id="65" w:name="검증된-확장성현재-릴리스"/>
    <w:p>
      <w:pPr>
        <w:pStyle w:val="Heading2"/>
      </w:pPr>
      <w:r>
        <w:t xml:space="preserve">검증된 확장성(현재 릴리스)</w:t>
      </w:r>
    </w:p>
    <w:p>
      <w:pPr>
        <w:pStyle w:val="FirstParagraph"/>
      </w:pPr>
      <w:r>
        <w:t xml:space="preserve">다음 확장들은 현재 릴리스로 실제 수행되었으며 따라서 전망이 아닌 증거이다.</w:t>
      </w:r>
    </w:p>
    <w:p>
      <w:pPr>
        <w:numPr>
          <w:ilvl w:val="0"/>
          <w:numId w:val="1007"/>
        </w:numPr>
      </w:pPr>
      <w:r>
        <w:rPr>
          <w:b/>
          <w:bCs/>
        </w:rPr>
        <w:t xml:space="preserve">한국 MSDS 체제 전체</w:t>
      </w:r>
      <w:r>
        <w:t xml:space="preserve">: 48</w:t>
      </w:r>
      <w:r>
        <w:t xml:space="preserve">,</w:t>
      </w:r>
      <w:r>
        <w:t xml:space="preserve">966종 화학물질, 401</w:t>
      </w:r>
      <w:r>
        <w:t xml:space="preserve">,</w:t>
      </w:r>
      <w:r>
        <w:t xml:space="preserve">272개 비어 있지 않은 섹션, 수집·GHS 해소·점자 인코딩·BRF/유니코드 전달·참조 웹 서비스에 이르는 종단 간 수행. 이는 본 파이프라인의 검증된 적용 영역이다.</w:t>
      </w:r>
    </w:p>
    <w:p>
      <w:pPr>
        <w:numPr>
          <w:ilvl w:val="0"/>
          <w:numId w:val="1007"/>
        </w:numPr>
      </w:pPr>
      <w:r>
        <w:rPr>
          <w:b/>
          <w:bCs/>
        </w:rPr>
        <w:t xml:space="preserve">식품 알레르겐 표시</w:t>
      </w:r>
      <w:r>
        <w:t xml:space="preserve">: 한국 식품표시 규정상 19개 범주를 인코딩·내보내기 완료(</w:t>
      </w:r>
      <w:r>
        <w:rPr>
          <w:rStyle w:val="VerbatimChar"/>
        </w:rPr>
        <w:t xml:space="preserve">data/domain_expansion/food_allergens_braille.jsonl</w:t>
      </w:r>
      <w:r>
        <w:t xml:space="preserve">).</w:t>
      </w:r>
    </w:p>
    <w:p>
      <w:pPr>
        <w:numPr>
          <w:ilvl w:val="0"/>
          <w:numId w:val="1007"/>
        </w:numPr>
      </w:pPr>
      <w:r>
        <w:rPr>
          <w:b/>
          <w:bCs/>
        </w:rPr>
        <w:t xml:space="preserve">응급조치·산업보건 프로토콜</w:t>
      </w:r>
      <w:r>
        <w:t xml:space="preserve">(KISCHEM): 원본 DB는 7</w:t>
      </w:r>
      <w:r>
        <w:t xml:space="preserve">,</w:t>
      </w:r>
      <w:r>
        <w:t xml:space="preserve">189건의 기록을 담고 있으며, 영역 확장 시연으로 100건 점자 내보내기를 동봉한다(</w:t>
      </w:r>
      <w:r>
        <w:rPr>
          <w:rStyle w:val="VerbatimChar"/>
        </w:rPr>
        <w:t xml:space="preserve">kischem_firstaid_braille.jsonl</w:t>
      </w:r>
      <w:r>
        <w:t xml:space="preserve">). 종단 간 경로는 소규모에서 수행되었고, 전체 내보내기는 운영상 가능하나 본 릴리스에는 포함되지 않는다.</w:t>
      </w:r>
    </w:p>
    <w:p>
      <w:pPr>
        <w:numPr>
          <w:ilvl w:val="0"/>
          <w:numId w:val="1007"/>
        </w:numPr>
      </w:pPr>
      <w:r>
        <w:rPr>
          <w:b/>
          <w:bCs/>
        </w:rPr>
        <w:t xml:space="preserve">CAS 키 기반 교차 참조</w:t>
      </w:r>
      <w:r>
        <w:t xml:space="preserve">: KOSHA MSDS 기록에 연결된 13</w:t>
      </w:r>
      <w:r>
        <w:t xml:space="preserve">,</w:t>
      </w:r>
      <w:r>
        <w:t xml:space="preserve">445종의 고유 CAS 번호와 프로젝트에 동봉된 74</w:t>
      </w:r>
      <w:r>
        <w:t xml:space="preserve">,</w:t>
      </w:r>
      <w:r>
        <w:t xml:space="preserve">494건의 CAS</w:t>
      </w:r>
      <m:oMath>
        <m:r>
          <m:rPr>
            <m:sty m:val="p"/>
          </m:rPr>
          <m:t>→</m:t>
        </m:r>
      </m:oMath>
      <w:r>
        <w:t xml:space="preserve">PubChem CID 매핑은 한 번 인코딩되어 재변환 없이 재사용되며, 이는 PubChem, ECHA, EPA, OSHA 등록부로의 언어 독립적 가교를 시연한다.</w:t>
      </w:r>
    </w:p>
    <w:bookmarkEnd w:id="65"/>
    <w:bookmarkStart w:id="66" w:name="전망적-확장성아키텍처적-아직-수행되지-않음"/>
    <w:p>
      <w:pPr>
        <w:pStyle w:val="Heading2"/>
      </w:pPr>
      <w:r>
        <w:t xml:space="preserve">전망적 확장성(아키텍처적, 아직 수행되지 않음)</w:t>
      </w:r>
    </w:p>
    <w:p>
      <w:pPr>
        <w:pStyle w:val="FirstParagraph"/>
      </w:pPr>
      <w:r>
        <w:t xml:space="preserve">다음 확장들은 아키텍처적으로 지원되지만 본 릴리스에서 수행되지는 않았다. 리뷰어가 완료된 작업으로 오해하지 않도록 전망으로 명시한다.</w:t>
      </w:r>
    </w:p>
    <w:p>
      <w:pPr>
        <w:numPr>
          <w:ilvl w:val="0"/>
          <w:numId w:val="1008"/>
        </w:numPr>
      </w:pPr>
      <w:r>
        <w:rPr>
          <w:b/>
          <w:bCs/>
        </w:rPr>
        <w:t xml:space="preserve">의약품 표시와 첨부문서 전체 점자</w:t>
      </w:r>
      <w:r>
        <w:t xml:space="preserve">(한국 식품의약품안전처): 규제된 점자에 관한 가장 좁은 국제 선례(EU 의약품 포장</w:t>
      </w:r>
      <w:r>
        <w:t xml:space="preserve"> </w:t>
      </w:r>
      <w:r>
        <w:t xml:space="preserve">)는 제품명에만 적용되며, 표시 전문 점자는 아키텍처적 직접 확장이지만 본 코퍼스에는 포함되지 않는다.</w:t>
      </w:r>
    </w:p>
    <w:p>
      <w:pPr>
        <w:numPr>
          <w:ilvl w:val="0"/>
          <w:numId w:val="1008"/>
        </w:numPr>
      </w:pPr>
      <w:r>
        <w:rPr>
          <w:b/>
          <w:bCs/>
        </w:rPr>
        <w:t xml:space="preserve">K-REACH 화학물질 등록 신고</w:t>
      </w:r>
      <w:r>
        <w:t xml:space="preserve">: 원본 DB는 47</w:t>
      </w:r>
      <w:r>
        <w:t xml:space="preserve">,</w:t>
      </w:r>
      <w:r>
        <w:t xml:space="preserve">344종 등록 물질을 담고 있다. 파이프라인은 이를 동일 인코더로 처리하는 병렬 수집 경로로 다룰 수 있으나, K-REACH 점자 내보내기는 본 릴리스에 포함되지 않는다.</w:t>
      </w:r>
    </w:p>
    <w:p>
      <w:pPr>
        <w:numPr>
          <w:ilvl w:val="0"/>
          <w:numId w:val="1008"/>
        </w:numPr>
      </w:pPr>
      <w:r>
        <w:rPr>
          <w:b/>
          <w:bCs/>
        </w:rPr>
        <w:t xml:space="preserve">법령·행정 결정</w:t>
      </w:r>
      <w:r>
        <w:t xml:space="preserve">으로서 산업안전·화학 규제 관련 문서: 동일 템플릿이 적용 가능하며, 법령 전용 수집기와 동일 점자 인코더만 추가로 요구된다.</w:t>
      </w:r>
    </w:p>
    <w:p>
      <w:pPr>
        <w:numPr>
          <w:ilvl w:val="0"/>
          <w:numId w:val="1008"/>
        </w:numPr>
      </w:pPr>
      <w:r>
        <w:rPr>
          <w:b/>
          <w:bCs/>
        </w:rPr>
        <w:t xml:space="preserve">국가 간 SDS</w:t>
      </w:r>
      <w:r>
        <w:t xml:space="preserve">(미국 OSHA HazCom, EU CLP/REACH, 일본 J-CHECK):</w:t>
      </w:r>
      <w:r>
        <w:t xml:space="preserve"> </w:t>
      </w:r>
      <w:r>
        <w:t xml:space="preserve">“구조화된 규제 원문</w:t>
      </w:r>
      <w:r>
        <w:t xml:space="preserve"> </w:t>
      </w:r>
      <m:oMath>
        <m:r>
          <m:rPr>
            <m:sty m:val="p"/>
          </m:rPr>
          <m:t>→</m:t>
        </m:r>
      </m:oMath>
      <w:r>
        <w:t xml:space="preserve"> </w:t>
      </w:r>
      <w:r>
        <w:t xml:space="preserve">언어별 점자 코퍼스”</w:t>
      </w:r>
      <w:r>
        <w:t xml:space="preserve"> </w:t>
      </w:r>
      <w:r>
        <w:t xml:space="preserve">패턴이 적용되며, 적용에는 각 체제별 수집과 점자 규정의 교체가 요구된다.</w:t>
      </w:r>
    </w:p>
    <w:bookmarkEnd w:id="66"/>
    <w:bookmarkStart w:id="67" w:name="언어-확장성"/>
    <w:p>
      <w:pPr>
        <w:pStyle w:val="Heading2"/>
      </w:pPr>
      <w:r>
        <w:t xml:space="preserve">언어 확장성</w:t>
      </w:r>
    </w:p>
    <w:p>
      <w:pPr>
        <w:pStyle w:val="FirstParagraph"/>
      </w:pPr>
      <w:r>
        <w:t xml:space="preserve">언어 의존적 구성 요소는 인코더 하나뿐이다. 다른 점자 규정—일본(2001), 중국(만다린 점자), 영어 UEB, EU 각국 규정—에 대해 규칙 테이블을 교체하면 파이프라인의 나머지가 보존된다. 본 릴리스 내에서 이는 아키텍처적이다(현재 인코더는 한국어 전용). 교체는 기계적이지만 두 번째 규정에 대해 실제로 수행된 바는 없다.</w:t>
      </w:r>
    </w:p>
    <w:bookmarkEnd w:id="67"/>
    <w:bookmarkStart w:id="68" w:name="소비-형식-확장성"/>
    <w:p>
      <w:pPr>
        <w:pStyle w:val="Heading2"/>
      </w:pPr>
      <w:r>
        <w:t xml:space="preserve">소비 형식 확장성</w:t>
      </w:r>
    </w:p>
    <w:p>
      <w:pPr>
        <w:pStyle w:val="FirstParagraph"/>
      </w:pPr>
      <w:r>
        <w:t xml:space="preserve">현재 릴리스는 유니코드 점자(U+2800–U+28FF)와 BRF를 제공한다. 단기 확장 후보로는 점자 양각·열성형 표시를 위한 촉각 SVG, GHS 픽토그램의 촉각 그래픽 파생물, CAS·ICSC 식별자를 연결하는 JSON-LD 주석이 있다. 이들은 릴리스 구성 요소가 아니라 로드맵 항목으로 명시한다.</w:t>
      </w:r>
    </w:p>
    <w:bookmarkEnd w:id="68"/>
    <w:bookmarkStart w:id="69" w:name="정책-확장성"/>
    <w:p>
      <w:pPr>
        <w:pStyle w:val="Heading2"/>
      </w:pPr>
      <w:r>
        <w:t xml:space="preserve">정책 확장성</w:t>
      </w:r>
    </w:p>
    <w:p>
      <w:pPr>
        <w:pStyle w:val="FirstParagraph"/>
      </w:pPr>
      <w:r>
        <w:t xml:space="preserve">본 코퍼스는 정책 제안의 구체 근거가 되는 산출물이다. KOSHA의 공식 접근 가능 형식 채택, 고용노동부 조달 표준에의 편입, 그리고 점자 프린터 출력이 가능한 기업 환경·보건·안전(EHS) 시스템과의 통합이 그 예이다.</w:t>
      </w:r>
    </w:p>
    <w:bookmarkEnd w:id="69"/>
    <w:bookmarkEnd w:id="70"/>
    <w:bookmarkStart w:id="79" w:name="sec:discussion"/>
    <w:p>
      <w:pPr>
        <w:pStyle w:val="Heading1"/>
      </w:pPr>
      <w:r>
        <w:t xml:space="preserve">논의</w:t>
      </w:r>
    </w:p>
    <w:bookmarkStart w:id="71" w:name="적절한-평가-기준"/>
    <w:p>
      <w:pPr>
        <w:pStyle w:val="Heading2"/>
      </w:pPr>
      <w:r>
        <w:t xml:space="preserve">적절한 평가 기준</w:t>
      </w:r>
    </w:p>
    <w:p>
      <w:pPr>
        <w:pStyle w:val="FirstParagraph"/>
      </w:pPr>
      <w:r>
        <w:t xml:space="preserve">우리는 KOSHA-Braille가 사용 채택량으로 평가되지 않음을 명시한다. 인프라급 접근성 산출물에 적절한 기준은 다음과 같다.</w:t>
      </w:r>
    </w:p>
    <w:p>
      <w:pPr>
        <w:numPr>
          <w:ilvl w:val="0"/>
          <w:numId w:val="1009"/>
        </w:numPr>
      </w:pPr>
      <w:r>
        <w:t xml:space="preserve">비장애 독자의 대응물과의 커버리지 동등성(본 사례에서는 KOSHA MSDS 기록의 100%).</w:t>
      </w:r>
    </w:p>
    <w:p>
      <w:pPr>
        <w:numPr>
          <w:ilvl w:val="0"/>
          <w:numId w:val="1009"/>
        </w:numPr>
      </w:pPr>
      <w:r>
        <w:t xml:space="preserve">표준 준수(</w:t>
      </w:r>
      <w:hyperlink w:anchor="sec:validation">
        <w:r>
          <w:rPr>
            <w:rStyle w:val="Hyperlink"/>
          </w:rPr>
          <w:t xml:space="preserve">5</w:t>
        </w:r>
      </w:hyperlink>
      <w:r>
        <w:t xml:space="preserve">장에서 검증).</w:t>
      </w:r>
    </w:p>
    <w:p>
      <w:pPr>
        <w:numPr>
          <w:ilvl w:val="0"/>
          <w:numId w:val="1009"/>
        </w:numPr>
      </w:pPr>
      <w:r>
        <w:t xml:space="preserve">결정론성과 재현성.</w:t>
      </w:r>
    </w:p>
    <w:p>
      <w:pPr>
        <w:numPr>
          <w:ilvl w:val="0"/>
          <w:numId w:val="1009"/>
        </w:numPr>
      </w:pPr>
      <w:r>
        <w:t xml:space="preserve">가용성(자유 접근. 기관·페이월 제한 없음).</w:t>
      </w:r>
    </w:p>
    <w:p>
      <w:pPr>
        <w:numPr>
          <w:ilvl w:val="0"/>
          <w:numId w:val="1009"/>
        </w:numPr>
      </w:pPr>
      <w:r>
        <w:t xml:space="preserve">확장성(</w:t>
      </w:r>
      <w:hyperlink w:anchor="sec:extensibility">
        <w:r>
          <w:rPr>
            <w:rStyle w:val="Hyperlink"/>
          </w:rPr>
          <w:t xml:space="preserve">7</w:t>
        </w:r>
      </w:hyperlink>
      <w:r>
        <w:t xml:space="preserve">장).</w:t>
      </w:r>
    </w:p>
    <w:p>
      <w:pPr>
        <w:pStyle w:val="FirstParagraph"/>
      </w:pPr>
      <w:r>
        <w:t xml:space="preserve">이 기준에 따르면 현재 시스템은 실질적 진보이다. 한국 화학 안전 점자에 관한 이전의 최고 기술 수준은 부재였다.</w:t>
      </w:r>
    </w:p>
    <w:bookmarkEnd w:id="71"/>
    <w:bookmarkStart w:id="72" w:name="발생-빈도는-낮으나-결과가-중대한-접근성"/>
    <w:p>
      <w:pPr>
        <w:pStyle w:val="Heading2"/>
      </w:pPr>
      <w:r>
        <w:t xml:space="preserve">발생 빈도는 낮으나 결과가 중대한 접근성</w:t>
      </w:r>
    </w:p>
    <w:p>
      <w:pPr>
        <w:pStyle w:val="FirstParagraph"/>
      </w:pPr>
      <w:r>
        <w:t xml:space="preserve">화학 안전은 더 넓은 부류의 접근성 대상의 한 사례이다. 그 부류는 기술·규제 정보 영역으로, 관측된 시각장애 사용자 수는 작지만 접근이 부재할 때의 결과가 중대한 영역이다. 이 부류의 다른 구성원에는 법령과 판례, 의료 가이드라인, 표준 문서, 행정 참고 자료 등이 있다. 이러한 영역에 점자 인프라를 구축하는 데 대한 경제적 반론은 각 사례에서 동일하며, 동일하게 반박된다. 관측된 사용자 수는 인프라의 함수이지 인프라에 관한 독립적 사실이 아니다.</w:t>
      </w:r>
    </w:p>
    <w:bookmarkEnd w:id="72"/>
    <w:bookmarkStart w:id="76" w:name="sec:scope-of-claims"/>
    <w:p>
      <w:pPr>
        <w:pStyle w:val="Heading2"/>
      </w:pPr>
      <w:r>
        <w:t xml:space="preserve">주장의 범위: 무엇이 검증되었고 무엇이 검증되지 않았는가</w:t>
      </w:r>
    </w:p>
    <w:p>
      <w:pPr>
        <w:pStyle w:val="FirstParagraph"/>
      </w:pPr>
      <w:r>
        <w:t xml:space="preserve">리뷰어가 경계를 추론할 필요가 없도록 검증 주장을 두 층위로 분리한다.</w:t>
      </w:r>
    </w:p>
    <w:bookmarkStart w:id="73" w:name="검증된-것."/>
    <w:p>
      <w:pPr>
        <w:pStyle w:val="Heading4"/>
      </w:pPr>
      <w:r>
        <w:t xml:space="preserve">검증된 것.</w:t>
      </w:r>
    </w:p>
    <w:p>
      <w:pPr>
        <w:pStyle w:val="FirstParagraph"/>
      </w:pPr>
      <w:r>
        <w:t xml:space="preserve">(a) 인코더는 2017년 한국 점자 규정의 결정론적 구현이다. (b) 기본 음절, 골든 문장, 실 MSDS 화학물질명에 걸친 442건의 교차 참조 사례에서 독립적으로 개발된 오픈소스 한국 점자 변환기와 100% 일치한다. (c) 공개 디코더 경로는 공개 45문장 한국어 골든 셋을 45/45로 라운드트립하며 27건 디코더 스트레스 코퍼스에서 0건의 실패를 보고한다. (d) 규제 기록 커버리지가 완전하다. KOSHA MSDS 데이터베이스에 존재하는 모든 화학물질이 공개 코퍼스에 포함된다.</w:t>
      </w:r>
    </w:p>
    <w:bookmarkEnd w:id="73"/>
    <w:bookmarkStart w:id="74" w:name="아직-검증되지-않은-것."/>
    <w:p>
      <w:pPr>
        <w:pStyle w:val="Heading4"/>
      </w:pPr>
      <w:r>
        <w:t xml:space="preserve">아직 검증되지 않은 것.</w:t>
      </w:r>
    </w:p>
    <w:p>
      <w:pPr>
        <w:pStyle w:val="FirstParagraph"/>
      </w:pPr>
      <w:r>
        <w:t xml:space="preserve">(a) 시각장애 독자에 의한 읽기 이해. (b) 현장 조건에서 점자 디스플레이와 점자 프린터를 통한 BRF·유니코드 출력의 주관적 사용성. (c) GHS 픽토그램–한국어 본문 해소가 점자 독자의 유해성 인식에 충분한지(대안적 촉각 그래픽이나 청각 신호와의 비교).</w:t>
      </w:r>
    </w:p>
    <w:bookmarkEnd w:id="74"/>
    <w:bookmarkStart w:id="75" w:name="본-제출이-ac-없이-성립하는-이유."/>
    <w:p>
      <w:pPr>
        <w:pStyle w:val="Heading4"/>
      </w:pPr>
      <w:r>
        <w:t xml:space="preserve">본 제출이 (a)–(c) 없이 성립하는 이유.</w:t>
      </w:r>
    </w:p>
    <w:p>
      <w:pPr>
        <w:pStyle w:val="FirstParagraph"/>
      </w:pPr>
      <w:r>
        <w:t xml:space="preserve">연기된 항목들은</w:t>
      </w:r>
      <w:r>
        <w:t xml:space="preserve"> </w:t>
      </w:r>
      <w:r>
        <w:rPr>
          <w:i/>
          <w:iCs/>
        </w:rPr>
        <w:t xml:space="preserve">독자와 산출물의 상호작용</w:t>
      </w:r>
      <w:r>
        <w:t xml:space="preserve">에 대한 평가이다. 반면 검증된 항목들은</w:t>
      </w:r>
      <w:r>
        <w:t xml:space="preserve"> </w:t>
      </w:r>
      <w:r>
        <w:rPr>
          <w:i/>
          <w:iCs/>
        </w:rPr>
        <w:t xml:space="preserve">산출물이 존재하며, 표준에 부합하고, 비장애 독자 버전과 커버리지가 동등하며, 표준 보조 하드웨어로 종단 간 소비 가능함</w:t>
      </w:r>
      <w:r>
        <w:t xml:space="preserve">을 확립한다. 전자의 범주는 후자를 전제한다. 현 단계에서 통계적 검정력이 부족한 사용자 연구를 보고하는 것은 오히려 기여를 약화시키며, 인프라 릴리스를 사용성 주장으로 오해하게 만든다. 따라서 우리는 인프라를 지금 공개하고, 경계를 문서화하며, 사용자 평가는 별도로 적절히 검정력 있게 수행될 후속 연구로 명시한다.</w:t>
      </w:r>
    </w:p>
    <w:bookmarkEnd w:id="75"/>
    <w:bookmarkEnd w:id="76"/>
    <w:bookmarkStart w:id="77" w:name="알려진-한계"/>
    <w:p>
      <w:pPr>
        <w:pStyle w:val="Heading2"/>
      </w:pPr>
      <w:r>
        <w:t xml:space="preserve">알려진 한계</w:t>
      </w:r>
    </w:p>
    <w:p>
      <w:pPr>
        <w:numPr>
          <w:ilvl w:val="0"/>
          <w:numId w:val="1010"/>
        </w:numPr>
      </w:pPr>
      <w:r>
        <w:rPr>
          <w:b/>
          <w:bCs/>
        </w:rPr>
        <w:t xml:space="preserve">읽기 이해 사용자 연구 부재</w:t>
      </w:r>
      <w:r>
        <w:t xml:space="preserve">(</w:t>
      </w:r>
      <w:hyperlink w:anchor="sec:scope-of-claims">
        <w:r>
          <w:rPr>
            <w:rStyle w:val="Hyperlink"/>
          </w:rPr>
          <w:t xml:space="preserve">8.3</w:t>
        </w:r>
      </w:hyperlink>
      <w:r>
        <w:t xml:space="preserve">절에서 별도로 다룸).</w:t>
      </w:r>
    </w:p>
    <w:p>
      <w:pPr>
        <w:numPr>
          <w:ilvl w:val="0"/>
          <w:numId w:val="1010"/>
        </w:numPr>
      </w:pPr>
      <w:r>
        <w:rPr>
          <w:b/>
          <w:bCs/>
        </w:rPr>
        <w:t xml:space="preserve">1종 점자만 지원</w:t>
      </w:r>
      <w:r>
        <w:t xml:space="preserve">: 한국 2종(축약) 점자는 문서 길이를 단축하지만 맥락 의존적 축약 결정이 도입되어 현 단계의 엄격한 결정론과 양립하지 않는다.</w:t>
      </w:r>
    </w:p>
    <w:p>
      <w:pPr>
        <w:numPr>
          <w:ilvl w:val="0"/>
          <w:numId w:val="1010"/>
        </w:numPr>
      </w:pPr>
      <w:r>
        <w:rPr>
          <w:b/>
          <w:bCs/>
        </w:rPr>
        <w:t xml:space="preserve">초성/종성 경계에서의 디코더 모호성</w:t>
      </w:r>
      <w:r>
        <w:t xml:space="preserve">: 한국 점자에 본래 내재한 문제이지만, 현재 공개된 한국어 디코더 경로는 공개 골든 셋을 45/45로 라운드트립한다. 잔여 위험은 따라서 현재 벤치마크 집합이 아닌 미관측 실세계 가장자리 사례에 집중된다.</w:t>
      </w:r>
    </w:p>
    <w:p>
      <w:pPr>
        <w:numPr>
          <w:ilvl w:val="0"/>
          <w:numId w:val="1010"/>
        </w:numPr>
      </w:pPr>
      <w:r>
        <w:rPr>
          <w:b/>
          <w:bCs/>
        </w:rPr>
        <w:t xml:space="preserve">번역된 원문에서의 영역 용어</w:t>
      </w:r>
      <w:r>
        <w:t xml:space="preserve">: 사용된 경우의 기계 번역 MSDS 콘텐츠가 도메인 용어 오류를 포함할 수 있으며, 이는 점자로 전파될 수 있다.</w:t>
      </w:r>
    </w:p>
    <w:bookmarkEnd w:id="77"/>
    <w:bookmarkStart w:id="78" w:name="sec:maintenance"/>
    <w:p>
      <w:pPr>
        <w:pStyle w:val="Heading2"/>
      </w:pPr>
      <w:r>
        <w:t xml:space="preserve">유지보수와 갱신 모델</w:t>
      </w:r>
    </w:p>
    <w:p>
      <w:pPr>
        <w:pStyle w:val="FirstParagraph"/>
      </w:pPr>
      <w:r>
        <w:t xml:space="preserve">상류의 KOSHA MSDS 데이터베이스 자체가 갱신되므로, 한 번 공개하고 더 이상 갱신되지 않는 접근성 코퍼스는 시간이 지남에 따라 의미를 잃는다. 우리는 따라서 본 릴리스를 유지 가능한 갱신 모델에 묶는다. (i) 수집 계층은 공공데이터포털 API 엔드포인트로 매개변수화되어 있고 라이브 데이터 소스에 대해 멱등적으로(idempotently) 실행되므로, 갱신된 상류에 대한 재추출이 단일 명령 연산이다. (ii) 인코더, 디코더, GHS 해소 계층은 결정론적이며 폐쇄형 의존성 없이 자체 포함된 Python으로 작성되어, 재현에는 Python과 공개 저장소에 명시된 소수의 의존성만 필요하다. (iii) HuggingFace 데이터셋 카드와 GitHub 저장소가 버전 관리되므로, 하위 소비자는 특정 코퍼스 스냅샷에 고정(pin) 가능하다. (iv) 보조 패키지에 동봉된 검증 스크립트는 공개 JSONL만으로 본 논문의 모든 수치적 주장을 재생성하므로, 제3자 재실행자가 저자와의 조율 없이 향후 재추출을 검증할 수 있다. 단독 저자 위험은 실재하며 인정한다. 위의 완화 조치들은 단독 저자 릴리스가 사용 가능한 구조적 수단이다.</w:t>
      </w:r>
    </w:p>
    <w:bookmarkEnd w:id="78"/>
    <w:bookmarkEnd w:id="79"/>
    <w:bookmarkStart w:id="80" w:name="sec:conclusion"/>
    <w:p>
      <w:pPr>
        <w:pStyle w:val="Heading1"/>
      </w:pPr>
      <w:r>
        <w:t xml:space="preserve">결론</w:t>
      </w:r>
    </w:p>
    <w:p>
      <w:pPr>
        <w:pStyle w:val="FirstParagraph"/>
      </w:pPr>
      <w:r>
        <w:t xml:space="preserve">본 논문은 한국 화학 안전 정보에 대한 접근성 인프라로서 KOSHA-Braille를 제시하였다. 769</w:t>
      </w:r>
      <w:r>
        <w:t xml:space="preserve">,</w:t>
      </w:r>
      <w:r>
        <w:t xml:space="preserve">897행의 원본 섹션 데이터베이스에서 401</w:t>
      </w:r>
      <w:r>
        <w:t xml:space="preserve">,</w:t>
      </w:r>
      <w:r>
        <w:t xml:space="preserve">272개의 비어 있지 않은 섹션을 공개한 48</w:t>
      </w:r>
      <w:r>
        <w:t xml:space="preserve">,</w:t>
      </w:r>
      <w:r>
        <w:t xml:space="preserve">966종 화학물질 규모, 총 2억 3</w:t>
      </w:r>
      <w:r>
        <w:t xml:space="preserve">,</w:t>
      </w:r>
      <w:r>
        <w:t xml:space="preserve">230만 점자 셀의 코퍼스가 결정론적·표준 준수 인코더로 생산되어 참조 배포와 함께 공개되었다. 우리는 이러한 작업에 적절한 프레이밍이 사용량 주도 서비스 전달이 아닌, UN 장애인권리협약 제9조</w:t>
      </w:r>
      <w:r>
        <w:t xml:space="preserve"> </w:t>
      </w:r>
      <w:r>
        <w:t xml:space="preserve"> </w:t>
      </w:r>
      <w:r>
        <w:t xml:space="preserve">및 한국 장애인차별금지법 제21조</w:t>
      </w:r>
      <w:r>
        <w:t xml:space="preserve"> </w:t>
      </w:r>
      <w:r>
        <w:t xml:space="preserve">에 따른 인프라 제공임을 논증하였다. 본 시스템이 영역(의약품 표시, 식품 알레르겐, 응급조치 프로토콜, K-REACH 신고, 법령 본문), 언어(점자 인코더의 교체로), 규제 체제(미국 OSHA, EU CLP/REACH, 일본 J-CHECK)에 걸쳐 확장 가능하도록 만드는 아키텍처 속성은</w:t>
      </w:r>
      <w:r>
        <w:t xml:space="preserve"> </w:t>
      </w:r>
      <w:hyperlink w:anchor="sec:extensibility">
        <w:r>
          <w:rPr>
            <w:rStyle w:val="Hyperlink"/>
          </w:rPr>
          <w:t xml:space="preserve">7</w:t>
        </w:r>
      </w:hyperlink>
      <w:r>
        <w:t xml:space="preserve">장에서 다루었다.</w:t>
      </w:r>
    </w:p>
    <w:p>
      <w:pPr>
        <w:pStyle w:val="BodyText"/>
      </w:pPr>
      <w:r>
        <w:t xml:space="preserve">이러한 종류의 작업에 대한 근거는 다음 달에 얼마나 많은 독자가 사용하는가에 있지 않다. 그 근거는 필요한 읽기 인프라가 부재할 때 직역에 진입할 수 없는 사람—국회에서 질문할 수 없는 사람, 법정에서 주장을 펼칠 수 없는 사람, 보도국에서 취재를 제기할 수 없는 사람—에게 있다. 후속 작업으로는 시각장애 독자를 대상으로 한 읽기 이해 사용자 연구, 한국 2종(축약) 점자 지원, GHS 픽토그램의 촉각 그래픽 처리, 그리고 관련 규제기관의 공식 접근 가능 형식으로의 채택이 있다.</w:t>
      </w:r>
    </w:p>
    <w:p>
      <w:pPr>
        <w:pStyle w:val="BodyText"/>
      </w:pPr>
      <w:r>
        <w:t xml:space="preserve">본 논문이 전반에 걸쳐 견지하는 범위 경계를 마지막으로 강조한다. 본 논문의 기여는 접근성 인프라의 설계·검증·공개 릴리스이지, 최종 사용자 읽기 성능에 관한 주장이 아니다. 본 릴리스 이후의 인프라 유지보수는</w:t>
      </w:r>
      <w:r>
        <w:t xml:space="preserve"> </w:t>
      </w:r>
      <w:hyperlink w:anchor="sec:maintenance">
        <w:r>
          <w:rPr>
            <w:rStyle w:val="Hyperlink"/>
          </w:rPr>
          <w:t xml:space="preserve">8.5</w:t>
        </w:r>
      </w:hyperlink>
      <w:r>
        <w:t xml:space="preserve">절에 기술된 모델(라이브 KOSHA 엔드포인트에 대한 멱등 수집, 결정론적이고 자체 포함된 처리 계층, 버전 관리된 데이터셋 스냅샷, 제3자가 재현 가능한 검증 스크립트)에 묶이며, 이로써 본 릴리스가 일회성 산출물이 아닌 지속 가능한 인프라로 기능한다.</w:t>
      </w:r>
    </w:p>
    <w:bookmarkEnd w:id="80"/>
    <w:bookmarkStart w:id="81" w:name="감사의-말"/>
    <w:p>
      <w:pPr>
        <w:pStyle w:val="Heading1"/>
      </w:pPr>
      <w:r>
        <w:t xml:space="preserve">감사의 말</w:t>
      </w:r>
    </w:p>
    <w:p>
      <w:pPr>
        <w:pStyle w:val="FirstParagraph"/>
      </w:pPr>
      <w:r>
        <w:t xml:space="preserve">저자는 물질안전보건자료 기록에 대한 공개 접근을 유지해 온 안전보건공단(KOSHA)과 공공데이터포털, 그리고</w:t>
      </w:r>
      <w:r>
        <w:t xml:space="preserve"> </w:t>
      </w:r>
      <w:hyperlink w:anchor="sec:validation">
        <w:r>
          <w:rPr>
            <w:rStyle w:val="Hyperlink"/>
          </w:rPr>
          <w:t xml:space="preserve">5</w:t>
        </w:r>
      </w:hyperlink>
      <w:r>
        <w:t xml:space="preserve">장에서 보고된 교차 참조 검증에 사용된 독립 오픈소스 한국 점자 변환기</w:t>
      </w:r>
      <w:r>
        <w:t xml:space="preserve"> </w:t>
      </w:r>
      <w:r>
        <w:t xml:space="preserve">의 메인테이너에게 감사를 표한다.</w:t>
      </w:r>
    </w:p>
    <w:bookmarkEnd w:id="81"/>
    <w:bookmarkStart w:id="86" w:name="선언"/>
    <w:p>
      <w:pPr>
        <w:pStyle w:val="Heading1"/>
      </w:pPr>
      <w:r>
        <w:t xml:space="preserve">선언</w:t>
      </w:r>
    </w:p>
    <w:bookmarkStart w:id="82" w:name="연구비"/>
    <w:p>
      <w:pPr>
        <w:pStyle w:val="Heading2"/>
      </w:pPr>
      <w:r>
        <w:t xml:space="preserve">연구비</w:t>
      </w:r>
    </w:p>
    <w:p>
      <w:pPr>
        <w:pStyle w:val="FirstParagraph"/>
      </w:pPr>
      <w:r>
        <w:t xml:space="preserve">본 연구는 외부 연구비를 받지 않았다. 계산 자원, 인프라, 데이터 포털 API 접근 비용은 저자가 직접 부담하였다.</w:t>
      </w:r>
    </w:p>
    <w:bookmarkEnd w:id="82"/>
    <w:bookmarkStart w:id="83" w:name="이해상충"/>
    <w:p>
      <w:pPr>
        <w:pStyle w:val="Heading2"/>
      </w:pPr>
      <w:r>
        <w:t xml:space="preserve">이해상충</w:t>
      </w:r>
    </w:p>
    <w:p>
      <w:pPr>
        <w:pStyle w:val="FirstParagraph"/>
      </w:pPr>
      <w:r>
        <w:t xml:space="preserve">저자는 재정적·비재정적 이해상충이 없음을 선언한다.</w:t>
      </w:r>
    </w:p>
    <w:bookmarkEnd w:id="83"/>
    <w:bookmarkStart w:id="84" w:name="윤리와-동의"/>
    <w:p>
      <w:pPr>
        <w:pStyle w:val="Heading2"/>
      </w:pPr>
      <w:r>
        <w:t xml:space="preserve">윤리와 동의</w:t>
      </w:r>
    </w:p>
    <w:p>
      <w:pPr>
        <w:pStyle w:val="FirstParagraph"/>
      </w:pPr>
      <w:r>
        <w:t xml:space="preserve">본 연구는 인간 대상자, 동물 대상자, 개인식별정보를 포함하지 않는다. 원본 데이터는 공개된 규제 자료이다. 윤리 승인, 참여 동의, 발표 동의는 모두 해당 없음.</w:t>
      </w:r>
    </w:p>
    <w:bookmarkEnd w:id="84"/>
    <w:bookmarkStart w:id="85" w:name="저자-기여"/>
    <w:p>
      <w:pPr>
        <w:pStyle w:val="Heading2"/>
      </w:pPr>
      <w:r>
        <w:t xml:space="preserve">저자 기여</w:t>
      </w:r>
    </w:p>
    <w:p>
      <w:pPr>
        <w:pStyle w:val="FirstParagraph"/>
      </w:pPr>
      <w:r>
        <w:t xml:space="preserve">단독 저자가 구상, 설계, 구현, 검증, 분석, 집필을 모두 수행하였다.</w:t>
      </w:r>
    </w:p>
    <w:bookmarkEnd w:id="85"/>
    <w:bookmarkEnd w:id="86"/>
    <w:bookmarkStart w:id="97" w:name="데이터와-코드-가용성"/>
    <w:p>
      <w:pPr>
        <w:pStyle w:val="Heading1"/>
      </w:pPr>
      <w:r>
        <w:t xml:space="preserve">데이터와 코드 가용성</w:t>
      </w:r>
    </w:p>
    <w:p>
      <w:pPr>
        <w:pStyle w:val="FirstParagraph"/>
      </w:pPr>
      <w:r>
        <w:t xml:space="preserve">데이터셋은 HuggingFace Datasets에</w:t>
      </w:r>
      <w:r>
        <w:t xml:space="preserve"> </w:t>
      </w:r>
      <w:r>
        <w:rPr>
          <w:rStyle w:val="VerbatimChar"/>
        </w:rPr>
        <w:t xml:space="preserve">Yuyongkim/inconvenience-msds</w:t>
      </w:r>
      <w:r>
        <w:t xml:space="preserve">로 공개되어 있다</w:t>
      </w:r>
      <w:r>
        <w:t xml:space="preserve"> </w:t>
      </w:r>
      <w:r>
        <w:t xml:space="preserve">. 인코더, 디코더, 파이프라인, 웹 서비스, 평가 하네스, 그리고 본 논문의 모든 수치적 주장을 생산하는 데 사용된 검증 스크립트는 GitHub의</w:t>
      </w:r>
      <w:r>
        <w:t xml:space="preserve"> </w:t>
      </w:r>
      <w:r>
        <w:rPr>
          <w:rStyle w:val="VerbatimChar"/>
        </w:rPr>
        <w:t xml:space="preserve">yuyongkim/inconvenience-msds</w:t>
      </w:r>
      <w:r>
        <w:t xml:space="preserve">에 공개되어 있다</w:t>
      </w:r>
      <w:r>
        <w:t xml:space="preserve"> </w:t>
      </w:r>
      <w:r>
        <w:t xml:space="preserve">. MSDS 원본 데이터는 공공데이터포털</w:t>
      </w:r>
      <w:r>
        <w:t xml:space="preserve"> </w:t>
      </w:r>
      <w:r>
        <w:t xml:space="preserve">을 통해 공개적으로 접근 가능하다. 데이터셋 라이선스: CC BY 4.0; 코드 라이선스: MIT.</w:t>
      </w:r>
    </w:p>
    <w:p>
      <w:pPr>
        <w:pStyle w:val="BodyText"/>
      </w:pPr>
      <w:r>
        <w:t xml:space="preserve">20</w:t>
      </w:r>
    </w:p>
    <w:p>
      <w:pPr>
        <w:pStyle w:val="BodyText"/>
      </w:pPr>
      <w:r>
        <w:t xml:space="preserve">Ministry of Employment and Labor,</w:t>
      </w:r>
      <w:r>
        <w:t xml:space="preserve"> </w:t>
      </w:r>
      <w:r>
        <w:t xml:space="preserve">“Occupational Safety and Health Act,”</w:t>
      </w:r>
      <w:r>
        <w:t xml:space="preserve"> </w:t>
      </w:r>
      <w:r>
        <w:t xml:space="preserve">Arts. 110–111, Republic of Korea, 2020.</w:t>
      </w:r>
    </w:p>
    <w:p>
      <w:pPr>
        <w:pStyle w:val="BodyText"/>
      </w:pPr>
      <w:r>
        <w:t xml:space="preserve">United Nations General Assembly,</w:t>
      </w:r>
      <w:r>
        <w:t xml:space="preserve"> </w:t>
      </w:r>
      <w:r>
        <w:t xml:space="preserve">“Convention on the Rights of Persons with Disabilities,”</w:t>
      </w:r>
      <w:r>
        <w:t xml:space="preserve"> </w:t>
      </w:r>
      <w:r>
        <w:t xml:space="preserve">Art. 9 (Accessibility), Resolution A/RES/61/106, adopted 13 December 2006, entered into force 3 May 2008.</w:t>
      </w:r>
    </w:p>
    <w:p>
      <w:pPr>
        <w:pStyle w:val="BodyText"/>
      </w:pPr>
      <w:r>
        <w:t xml:space="preserve">Republic of Korea,</w:t>
      </w:r>
      <w:r>
        <w:t xml:space="preserve"> </w:t>
      </w:r>
      <w:r>
        <w:t xml:space="preserve">“Act on the Prohibition of Discrimination Against Persons with Disabilities and Remedy Against Infringement of Their Rights,”</w:t>
      </w:r>
      <w:r>
        <w:t xml:space="preserve"> </w:t>
      </w:r>
      <w:r>
        <w:t xml:space="preserve">Act No. 8341 (2007), latest amendment Act No. 10280; esp. Arts. 20–21 (Information Access). Official English translation: Korea Legal Research Institute,</w:t>
      </w:r>
      <w:r>
        <w:t xml:space="preserve"> </w:t>
      </w:r>
      <w:hyperlink r:id="rId87">
        <w:r>
          <w:rPr>
            <w:rStyle w:val="Hyperlink"/>
          </w:rPr>
          <w:t xml:space="preserve">https://elaw.klri.re.kr/</w:t>
        </w:r>
      </w:hyperlink>
      <w:r>
        <w:t xml:space="preserve">.</w:t>
      </w:r>
    </w:p>
    <w:p>
      <w:pPr>
        <w:pStyle w:val="BodyText"/>
      </w:pPr>
      <w:r>
        <w:t xml:space="preserve">A. Hamraie,</w:t>
      </w:r>
      <w:r>
        <w:t xml:space="preserve"> </w:t>
      </w:r>
      <w:r>
        <w:rPr>
          <w:i/>
          <w:iCs/>
        </w:rPr>
        <w:t xml:space="preserve">Building Access: Universal Design and the Politics of Disability</w:t>
      </w:r>
      <w:r>
        <w:t xml:space="preserve">. Minneapolis, MN: Univ. of Minnesota Press, 2017. ISBN 978-1-5179-0164-6.</w:t>
      </w:r>
    </w:p>
    <w:p>
      <w:pPr>
        <w:pStyle w:val="BodyText"/>
      </w:pPr>
      <w:r>
        <w:t xml:space="preserve">A. G. Blackwell,</w:t>
      </w:r>
      <w:r>
        <w:t xml:space="preserve"> </w:t>
      </w:r>
      <w:r>
        <w:t xml:space="preserve">“The curb-cut effect,”</w:t>
      </w:r>
      <w:r>
        <w:t xml:space="preserve"> </w:t>
      </w:r>
      <w:r>
        <w:rPr>
          <w:i/>
          <w:iCs/>
        </w:rPr>
        <w:t xml:space="preserve">Stanford Social Innovation Review</w:t>
      </w:r>
      <w:r>
        <w:t xml:space="preserve">, vol. 15, no. 1, pp. 28–33, Winter 2017. DOI: 10.48558/YVMS-CC96.</w:t>
      </w:r>
    </w:p>
    <w:p>
      <w:pPr>
        <w:pStyle w:val="BodyText"/>
      </w:pPr>
      <w:r>
        <w:t xml:space="preserve">C. L. Bennett and O. Keyes,</w:t>
      </w:r>
      <w:r>
        <w:t xml:space="preserve"> </w:t>
      </w:r>
      <w:r>
        <w:t xml:space="preserve">“What is the point of fairness? Disability, AI and the complexity of justice,”</w:t>
      </w:r>
      <w:r>
        <w:t xml:space="preserve"> </w:t>
      </w:r>
      <w:r>
        <w:rPr>
          <w:i/>
          <w:iCs/>
        </w:rPr>
        <w:t xml:space="preserve">ACM SIGACCESS Accessibility and Computing</w:t>
      </w:r>
      <w:r>
        <w:t xml:space="preserve">, no. 125, art. 1, Mar. 2020. DOI: 10.1145/3386296.3386301.</w:t>
      </w:r>
    </w:p>
    <w:p>
      <w:pPr>
        <w:pStyle w:val="BodyText"/>
      </w:pPr>
      <w:r>
        <w:t xml:space="preserve">University of California, Davis,</w:t>
      </w:r>
      <w:r>
        <w:t xml:space="preserve"> </w:t>
      </w:r>
      <w:r>
        <w:t xml:space="preserve">“White House hails blind chemistry grad student as</w:t>
      </w:r>
      <w:r>
        <w:t xml:space="preserve"> </w:t>
      </w:r>
      <w:r>
        <w:t xml:space="preserve">‘Champion of Change’</w:t>
      </w:r>
      <w:r>
        <w:t xml:space="preserve">,”</w:t>
      </w:r>
      <w:r>
        <w:t xml:space="preserve"> </w:t>
      </w:r>
      <w:r>
        <w:t xml:space="preserve">UC Davis News, July 2012; H. Wedler, Ph.D. dissertation, Dept. of Chemistry, Univ. of California, Davis, 2016; Accessible Science,</w:t>
      </w:r>
      <w:r>
        <w:t xml:space="preserve"> </w:t>
      </w:r>
      <w:hyperlink r:id="rId88">
        <w:r>
          <w:rPr>
            <w:rStyle w:val="Hyperlink"/>
          </w:rPr>
          <w:t xml:space="preserve">https://accessiblescience.com/</w:t>
        </w:r>
      </w:hyperlink>
      <w:r>
        <w:t xml:space="preserve">.</w:t>
      </w:r>
    </w:p>
    <w:p>
      <w:pPr>
        <w:pStyle w:val="BodyText"/>
      </w:pPr>
      <w:r>
        <w:t xml:space="preserve">National Federation of the Blind,</w:t>
      </w:r>
      <w:r>
        <w:t xml:space="preserve"> </w:t>
      </w:r>
      <w:r>
        <w:t xml:space="preserve">“Blind Legislators and Public Officials,”</w:t>
      </w:r>
      <w:r>
        <w:t xml:space="preserve"> </w:t>
      </w:r>
      <w:hyperlink r:id="rId89">
        <w:r>
          <w:rPr>
            <w:rStyle w:val="Hyperlink"/>
          </w:rPr>
          <w:t xml:space="preserve">https://nfb.org/</w:t>
        </w:r>
      </w:hyperlink>
      <w:r>
        <w:t xml:space="preserve">, accessed 2026.</w:t>
      </w:r>
    </w:p>
    <w:p>
      <w:pPr>
        <w:pStyle w:val="BodyText"/>
      </w:pPr>
      <w:r>
        <w:t xml:space="preserve">Korea Disabled People’s Development Institute,</w:t>
      </w:r>
      <w:r>
        <w:t xml:space="preserve"> </w:t>
      </w:r>
      <w:r>
        <w:t xml:space="preserve">“2023 Disability Statistics Annual Report,”</w:t>
      </w:r>
      <w:r>
        <w:t xml:space="preserve"> </w:t>
      </w:r>
      <w:r>
        <w:t xml:space="preserve">Seoul, 2023.</w:t>
      </w:r>
    </w:p>
    <w:p>
      <w:pPr>
        <w:pStyle w:val="BodyText"/>
      </w:pPr>
      <w:r>
        <w:t xml:space="preserve">European Commission,</w:t>
      </w:r>
      <w:r>
        <w:t xml:space="preserve"> </w:t>
      </w:r>
      <w:r>
        <w:t xml:space="preserve">“Directive 2004/27/EC of the European Parliament and of the Council of 31 March 2004 amending Directive 2001/83/EC on the Community code relating to medicinal products for human use,”</w:t>
      </w:r>
      <w:r>
        <w:t xml:space="preserve"> </w:t>
      </w:r>
      <w:r>
        <w:t xml:space="preserve">Art. 56a,</w:t>
      </w:r>
      <w:r>
        <w:t xml:space="preserve"> </w:t>
      </w:r>
      <w:r>
        <w:rPr>
          <w:i/>
          <w:iCs/>
        </w:rPr>
        <w:t xml:space="preserve">Official Journal of the European Union</w:t>
      </w:r>
      <w:r>
        <w:t xml:space="preserve">, L 136, pp. 34–57, 30 April 2004.</w:t>
      </w:r>
    </w:p>
    <w:p>
      <w:pPr>
        <w:pStyle w:val="BodyText"/>
      </w:pPr>
      <w:r>
        <w:t xml:space="preserve">liblouis developers,</w:t>
      </w:r>
      <w:r>
        <w:t xml:space="preserve"> </w:t>
      </w:r>
      <w:r>
        <w:t xml:space="preserve">“liblouis – Open-source braille translator and back-translator,”</w:t>
      </w:r>
      <w:r>
        <w:t xml:space="preserve"> </w:t>
      </w:r>
      <w:hyperlink r:id="rId90">
        <w:r>
          <w:rPr>
            <w:rStyle w:val="Hyperlink"/>
          </w:rPr>
          <w:t xml:space="preserve">https://github.com/liblouis/liblouis</w:t>
        </w:r>
      </w:hyperlink>
      <w:r>
        <w:t xml:space="preserve">, accessed 2026.</w:t>
      </w:r>
    </w:p>
    <w:p>
      <w:pPr>
        <w:pStyle w:val="BodyText"/>
      </w:pPr>
      <w:r>
        <w:t xml:space="preserve">hyonzin,</w:t>
      </w:r>
      <w:r>
        <w:t xml:space="preserve"> </w:t>
      </w:r>
      <w:r>
        <w:t xml:space="preserve">“hangul-braille-converter: Korean braille converter in Python,”</w:t>
      </w:r>
      <w:r>
        <w:t xml:space="preserve"> </w:t>
      </w:r>
      <w:hyperlink r:id="rId91">
        <w:r>
          <w:rPr>
            <w:rStyle w:val="Hyperlink"/>
          </w:rPr>
          <w:t xml:space="preserve">https://github.com/hyonzin/hangul-braille-converter</w:t>
        </w:r>
      </w:hyperlink>
      <w:r>
        <w:t xml:space="preserve">, accessed 2026.</w:t>
      </w:r>
    </w:p>
    <w:p>
      <w:pPr>
        <w:pStyle w:val="BodyText"/>
      </w:pPr>
      <w:r>
        <w:t xml:space="preserve">delvier,</w:t>
      </w:r>
      <w:r>
        <w:t xml:space="preserve"> </w:t>
      </w:r>
      <w:r>
        <w:t xml:space="preserve">“hanbraille: Hangul Braille Converter,”</w:t>
      </w:r>
      <w:r>
        <w:t xml:space="preserve"> </w:t>
      </w:r>
      <w:hyperlink r:id="rId92">
        <w:r>
          <w:rPr>
            <w:rStyle w:val="Hyperlink"/>
          </w:rPr>
          <w:t xml:space="preserve">https://github.com/delvier/hanbraille</w:t>
        </w:r>
      </w:hyperlink>
      <w:r>
        <w:t xml:space="preserve">, accessed 2026.</w:t>
      </w:r>
    </w:p>
    <w:p>
      <w:pPr>
        <w:pStyle w:val="BodyText"/>
      </w:pPr>
      <w:r>
        <w:t xml:space="preserve">United Nations Economic Commission for Europe,</w:t>
      </w:r>
      <w:r>
        <w:t xml:space="preserve"> </w:t>
      </w:r>
      <w:r>
        <w:rPr>
          <w:i/>
          <w:iCs/>
        </w:rPr>
        <w:t xml:space="preserve">Globally Harmonized System of Classification and Labelling of Chemicals (GHS)</w:t>
      </w:r>
      <w:r>
        <w:t xml:space="preserve">, 10th rev. ed. New York and Geneva: United Nations, 2023.</w:t>
      </w:r>
    </w:p>
    <w:p>
      <w:pPr>
        <w:pStyle w:val="BodyText"/>
      </w:pPr>
      <w:r>
        <w:t xml:space="preserve">Ministry of Culture, Sports and Tourism,</w:t>
      </w:r>
      <w:r>
        <w:t xml:space="preserve"> </w:t>
      </w:r>
      <w:r>
        <w:t xml:space="preserve">“Korean Braille Standards (한국 점자 규정),”</w:t>
      </w:r>
      <w:r>
        <w:t xml:space="preserve"> </w:t>
      </w:r>
      <w:r>
        <w:t xml:space="preserve">Notification No. 2017-15, Republic of Korea, 2017.</w:t>
      </w:r>
    </w:p>
    <w:p>
      <w:pPr>
        <w:pStyle w:val="BodyText"/>
      </w:pPr>
      <w:r>
        <w:t xml:space="preserve">Korea Public Data Portal,</w:t>
      </w:r>
      <w:r>
        <w:t xml:space="preserve"> </w:t>
      </w:r>
      <w:r>
        <w:t xml:space="preserve">“KOSHA MSDS Open API,”</w:t>
      </w:r>
      <w:r>
        <w:t xml:space="preserve"> </w:t>
      </w:r>
      <w:hyperlink r:id="rId93">
        <w:r>
          <w:rPr>
            <w:rStyle w:val="Hyperlink"/>
          </w:rPr>
          <w:t xml:space="preserve">https://www.data.go.kr/data/15001197/openapi.do</w:t>
        </w:r>
      </w:hyperlink>
      <w:r>
        <w:t xml:space="preserve">, accessed 2026.</w:t>
      </w:r>
    </w:p>
    <w:p>
      <w:pPr>
        <w:pStyle w:val="BodyText"/>
      </w:pPr>
      <w:r>
        <w:t xml:space="preserve">Korea Occupational Safety and Health Agency,</w:t>
      </w:r>
      <w:r>
        <w:t xml:space="preserve"> </w:t>
      </w:r>
      <w:r>
        <w:t xml:space="preserve">“Chemical Information System,”</w:t>
      </w:r>
      <w:r>
        <w:t xml:space="preserve"> </w:t>
      </w:r>
      <w:hyperlink r:id="rId94">
        <w:r>
          <w:rPr>
            <w:rStyle w:val="Hyperlink"/>
          </w:rPr>
          <w:t xml:space="preserve">https://msds.kosha.or.kr/</w:t>
        </w:r>
      </w:hyperlink>
      <w:r>
        <w:t xml:space="preserve">, accessed 2026.</w:t>
      </w:r>
    </w:p>
    <w:p>
      <w:pPr>
        <w:pStyle w:val="BodyText"/>
      </w:pPr>
      <w:r>
        <w:t xml:space="preserve">Y. Kim,</w:t>
      </w:r>
      <w:r>
        <w:t xml:space="preserve"> </w:t>
      </w:r>
      <w:r>
        <w:t xml:space="preserve">“inconvenience-msds: Korean Chemical Safety MSDS in Braille,”</w:t>
      </w:r>
      <w:r>
        <w:t xml:space="preserve"> </w:t>
      </w:r>
      <w:r>
        <w:t xml:space="preserve">HuggingFace Datasets, 2026.</w:t>
      </w:r>
      <w:r>
        <w:t xml:space="preserve"> </w:t>
      </w:r>
      <w:hyperlink r:id="rId95">
        <w:r>
          <w:rPr>
            <w:rStyle w:val="Hyperlink"/>
          </w:rPr>
          <w:t xml:space="preserve">https://huggingface.co/datasets/Yuyongkim/inconvenience-msds</w:t>
        </w:r>
      </w:hyperlink>
      <w:r>
        <w:t xml:space="preserve">.</w:t>
      </w:r>
    </w:p>
    <w:p>
      <w:pPr>
        <w:pStyle w:val="BodyText"/>
      </w:pPr>
      <w:r>
        <w:t xml:space="preserve">Y. Kim,</w:t>
      </w:r>
      <w:r>
        <w:t xml:space="preserve"> </w:t>
      </w:r>
      <w:r>
        <w:t xml:space="preserve">“inconvenience-msds source code,”</w:t>
      </w:r>
      <w:r>
        <w:t xml:space="preserve"> </w:t>
      </w:r>
      <w:r>
        <w:t xml:space="preserve">GitHub, 2026.</w:t>
      </w:r>
      <w:r>
        <w:t xml:space="preserve"> </w:t>
      </w:r>
      <w:hyperlink r:id="rId96">
        <w:r>
          <w:rPr>
            <w:rStyle w:val="Hyperlink"/>
          </w:rPr>
          <w:t xml:space="preserve">https://github.com/yuyongkim/inconvenience-msds</w:t>
        </w:r>
      </w:hyperlink>
      <w:r>
        <w:t xml:space="preserve">.</w:t>
      </w:r>
    </w:p>
    <w:p>
      <w:pPr>
        <w:pStyle w:val="BodyText"/>
      </w:pPr>
      <w:r>
        <w:t xml:space="preserve">김유용</w:t>
      </w:r>
      <w:r>
        <w:t xml:space="preserve"> </w:t>
      </w:r>
      <w:r>
        <w:t xml:space="preserve">화학공학 학사를 취득하였으며, 현재 위스콘신–매디슨 대학교에서 데이터 분석 석사 과정을 이수하고 있다. 12년간 석유화학·EPC 엔지니어로 근무한 산업 경력을 보유한다. 현재 연구는 화학공학·화학 안전 규제에 특화된 대형언어모델·검색 시스템, 기술·규제 정보 접근성 인프라, 그리고 한국 주식시장 정량 분석에 걸쳐 있다. 화학공학 분야 7-source 하이브리드 검색 시스템 ChemEng AI, KOSHA 규정 기반 플랜트 엔지니어링 검증 플랫폼 EPC-KOSHA, 그리고 본 연구의 KOSHA-Braille 개발자이다.</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원고 제출 2026년 4월.</w:t>
      </w:r>
    </w:p>
  </w:footnote>
  <w:footnote w:id="10">
    <w:p>
      <w:pPr>
        <w:pStyle w:val="FootnoteText"/>
      </w:pPr>
      <w:r>
        <w:rPr>
          <w:rStyle w:val="FootnoteReference"/>
        </w:rPr>
        <w:footnoteRef/>
      </w:r>
      <w:r>
        <w:t xml:space="preserve"> </w:t>
      </w:r>
      <w:r>
        <w:t xml:space="preserve">김유용은 위스콘신–매디슨 대학교 소속이다 (e-mail: ykim288@wisc.edu).</w:t>
      </w:r>
    </w:p>
  </w:footnote>
  <w:footnote w:id="11">
    <w:p>
      <w:pPr>
        <w:pStyle w:val="FootnoteText"/>
      </w:pPr>
      <w:r>
        <w:rPr>
          <w:rStyle w:val="FootnoteReference"/>
        </w:rPr>
        <w:footnoteRef/>
      </w:r>
      <w:r>
        <w:t xml:space="preserve"> </w:t>
      </w:r>
      <w:r>
        <w:t xml:space="preserve">ORCID: 0009-0006-4842-666X</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image" Id="rId42" Target="media/rId42.png" /><Relationship Type="http://schemas.openxmlformats.org/officeDocument/2006/relationships/image" Id="rId59" Target="media/rId59.png" /><Relationship Type="http://schemas.openxmlformats.org/officeDocument/2006/relationships/hyperlink" Id="rId88" Target="https://accessiblescience.com/" TargetMode="External" /><Relationship Type="http://schemas.openxmlformats.org/officeDocument/2006/relationships/hyperlink" Id="rId87" Target="https://elaw.klri.re.kr/" TargetMode="External" /><Relationship Type="http://schemas.openxmlformats.org/officeDocument/2006/relationships/hyperlink" Id="rId92" Target="https://github.com/delvier/hanbraille" TargetMode="External" /><Relationship Type="http://schemas.openxmlformats.org/officeDocument/2006/relationships/hyperlink" Id="rId91" Target="https://github.com/hyonzin/hangul-braille-converter" TargetMode="External" /><Relationship Type="http://schemas.openxmlformats.org/officeDocument/2006/relationships/hyperlink" Id="rId90" Target="https://github.com/liblouis/liblouis" TargetMode="External" /><Relationship Type="http://schemas.openxmlformats.org/officeDocument/2006/relationships/hyperlink" Id="rId96" Target="https://github.com/yuyongkim/inconvenience-msds" TargetMode="External" /><Relationship Type="http://schemas.openxmlformats.org/officeDocument/2006/relationships/hyperlink" Id="rId95" Target="https://huggingface.co/datasets/Yuyongkim/inconvenience-msds" TargetMode="External" /><Relationship Type="http://schemas.openxmlformats.org/officeDocument/2006/relationships/hyperlink" Id="rId94" Target="https://msds.kosha.or.kr/" TargetMode="External" /><Relationship Type="http://schemas.openxmlformats.org/officeDocument/2006/relationships/hyperlink" Id="rId89" Target="https://nfb.org/" TargetMode="External" /><Relationship Type="http://schemas.openxmlformats.org/officeDocument/2006/relationships/hyperlink" Id="rId93" Target="https://www.data.go.kr/data/15001197/openapi.do" TargetMode="External" /></Relationships>
</file>

<file path=word/_rels/footnotes.xml.rels><?xml version="1.0" encoding="UTF-8"?><Relationships xmlns="http://schemas.openxmlformats.org/package/2006/relationships"><Relationship Type="http://schemas.openxmlformats.org/officeDocument/2006/relationships/hyperlink" Id="rId88" Target="https://accessiblescience.com/" TargetMode="External" /><Relationship Type="http://schemas.openxmlformats.org/officeDocument/2006/relationships/hyperlink" Id="rId87" Target="https://elaw.klri.re.kr/" TargetMode="External" /><Relationship Type="http://schemas.openxmlformats.org/officeDocument/2006/relationships/hyperlink" Id="rId92" Target="https://github.com/delvier/hanbraille" TargetMode="External" /><Relationship Type="http://schemas.openxmlformats.org/officeDocument/2006/relationships/hyperlink" Id="rId91" Target="https://github.com/hyonzin/hangul-braille-converter" TargetMode="External" /><Relationship Type="http://schemas.openxmlformats.org/officeDocument/2006/relationships/hyperlink" Id="rId90" Target="https://github.com/liblouis/liblouis" TargetMode="External" /><Relationship Type="http://schemas.openxmlformats.org/officeDocument/2006/relationships/hyperlink" Id="rId96" Target="https://github.com/yuyongkim/inconvenience-msds" TargetMode="External" /><Relationship Type="http://schemas.openxmlformats.org/officeDocument/2006/relationships/hyperlink" Id="rId95" Target="https://huggingface.co/datasets/Yuyongkim/inconvenience-msds" TargetMode="External" /><Relationship Type="http://schemas.openxmlformats.org/officeDocument/2006/relationships/hyperlink" Id="rId94" Target="https://msds.kosha.or.kr/" TargetMode="External" /><Relationship Type="http://schemas.openxmlformats.org/officeDocument/2006/relationships/hyperlink" Id="rId89" Target="https://nfb.org/" TargetMode="External" /><Relationship Type="http://schemas.openxmlformats.org/officeDocument/2006/relationships/hyperlink" Id="rId93" Target="https://www.data.go.kr/data/15001197/openapi.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KOSHA-Braille: 한국 화학 안전 정보의 인프라급 접근성</dc:title>
  <dc:creator>김유용   </dc:creator>
  <cp:keywords/>
  <dcterms:created xsi:type="dcterms:W3CDTF">2026-05-27T14:00:21Z</dcterms:created>
  <dcterms:modified xsi:type="dcterms:W3CDTF">2026-05-27T14:00:21Z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목적. 한국의 화학 안전 정보는 오직 시각 문서로만 생산되어, 시각장애인이 화학 인접 직역(연구, 규제, 노동 옹호, 공직)에 진입하는 것을 사실상 봉쇄해 왔다. 본 논문은 한국 물질안전보건자료(MSDS) 점자 코퍼스의 구축·검증·공개 릴리스를 보고하며, 이를 사용성(usability) 산출물이 아니라 UN 장애인권리협약 제9조 및 한국 장애인차별금지법 제21조에 근거한 접근성 인프라로 위치 짓는다.방법. 우리는 2017년 한국 점자 규정을 충실히 구현한 결정론적 한국어 점자 인코더를 설계하고, 이를 공공데이터포털을 통해 접근한 KOSHA MSDS 데이터베이스 전체에 적용하였다. 산출물은 독립적으로 개발된 오픈소스 한국어 점자 변환기와 교차 검증되었다. 코퍼스, 인코더, 디코더, 평가 하네스, 그리고 참조 웹 배포는 모두 오픈 소스로 공개되며, 본 논문의 모든 수치적 주장은 릴리스에 동봉된 검증 스크립트로 재생성된다.결과. 공개 산출물은 48,966종의 화학물질, 769,897행의 원본 섹션 데이터베이스(이 중 401,272개 섹션이 실질적인 한국어 본문을 보유)를 포괄하며, 총 약 1억 1,930만 한국어 문자 및 2억 3,230만 점자 셀에 이른다. 인코더는 독립 참조 구현과 442건의 교차 검증 사례에서 100% 일치하였고, 공개 한국어 라운드트립 골든 셋은 45/45로 회복되었다.결론. 본 연구의 기여는 그간 미공급 상태로 방치되어 온 규제 정보 영역에 대한 인프라급 접근성 릴리스이다. 시각장애 독자를 대상으로 한 읽기 이해 사용자 연구는 필수 후속 작업으로 명시하고 본 제출의 범위에서 의도적으로 분리하였다. 본 논문은 설계·구현·공개 릴리스 연구로 명확히 위치 지어지며, 최종 사용자 평가 연구가 아니다.</vt:lpwstr>
  </property>
</Properties>
</file>