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2026-01-14 19:14</w:t>
      </w:r>
    </w:p>
    <w:p>
      <w:r>
        <w:t>依据: GB 50010-2010, GB 50009-2012, GB 55001-2021</w:t>
      </w:r>
    </w:p>
    <w:p>
      <w:pPr>
        <w:pStyle w:val="Heading1"/>
      </w:pPr>
      <w:r>
        <w:t>1. 工程概况</w:t>
      </w:r>
    </w:p>
    <w:p>
      <w:r>
        <w:t>本工程为5层钢筋混凝土框架结构，总高度 18.0m，总宽度 18.0m。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</w:t>
            </w:r>
          </w:p>
        </w:tc>
      </w:tr>
      <w:tr>
        <w:tc>
          <w:tcPr>
            <w:tcW w:type="dxa" w:w="4320"/>
          </w:tcPr>
          <w:p>
            <w:r>
              <w:t>活载标准值</w:t>
            </w:r>
          </w:p>
        </w:tc>
        <w:tc>
          <w:tcPr>
            <w:tcW w:type="dxa" w:w="4320"/>
          </w:tcPr>
          <w:p>
            <w:r>
              <w:t>2.5 kN/m² (GB 55001-2021)</w:t>
            </w:r>
          </w:p>
        </w:tc>
      </w:tr>
      <w:tr>
        <w:tc>
          <w:tcPr>
            <w:tcW w:type="dxa" w:w="4320"/>
          </w:tcPr>
          <w:p>
            <w:r>
              <w:t>荷载组合</w:t>
            </w:r>
          </w:p>
        </w:tc>
        <w:tc>
          <w:tcPr>
            <w:tcW w:type="dxa" w:w="4320"/>
          </w:tcPr>
          <w:p>
            <w:r>
              <w:t>1.3G+1.5L (GB 55001-2021)</w:t>
            </w:r>
          </w:p>
        </w:tc>
      </w:tr>
    </w:tbl>
    <w:p>
      <w:pPr>
        <w:pStyle w:val="Heading1"/>
      </w:pPr>
      <w:r>
        <w:t>2. 优化结果</w:t>
      </w:r>
    </w:p>
    <w:p>
      <w:r>
        <w:t>总造价: ¥24,484.54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构件类型</w:t>
            </w:r>
          </w:p>
        </w:tc>
        <w:tc>
          <w:tcPr>
            <w:tcW w:type="dxa" w:w="2880"/>
          </w:tcPr>
          <w:p>
            <w:r>
              <w:t>截面尺寸 (mm)</w:t>
            </w:r>
          </w:p>
        </w:tc>
        <w:tc>
          <w:tcPr>
            <w:tcW w:type="dxa" w:w="2880"/>
          </w:tcPr>
          <w:p>
            <w:r>
              <w:t>配筋</w:t>
            </w:r>
          </w:p>
        </w:tc>
      </w:tr>
      <w:tr>
        <w:tc>
          <w:tcPr>
            <w:tcW w:type="dxa" w:w="2880"/>
          </w:tcPr>
          <w:p>
            <w:r>
              <w:t>标准层梁</w:t>
            </w:r>
          </w:p>
        </w:tc>
        <w:tc>
          <w:tcPr>
            <w:tcW w:type="dxa" w:w="2880"/>
          </w:tcPr>
          <w:p>
            <w:r>
              <w:t>200 × 500</w:t>
            </w:r>
          </w:p>
        </w:tc>
        <w:tc>
          <w:tcPr>
            <w:tcW w:type="dxa" w:w="2880"/>
          </w:tcPr>
          <w:p>
            <w:r>
              <w:t>3φ20</w:t>
            </w:r>
          </w:p>
        </w:tc>
      </w:tr>
      <w:tr>
        <w:tc>
          <w:tcPr>
            <w:tcW w:type="dxa" w:w="2880"/>
          </w:tcPr>
          <w:p>
            <w:r>
              <w:t>屋面梁</w:t>
            </w:r>
          </w:p>
        </w:tc>
        <w:tc>
          <w:tcPr>
            <w:tcW w:type="dxa" w:w="2880"/>
          </w:tcPr>
          <w:p>
            <w:r>
              <w:t>200 × 500</w:t>
            </w:r>
          </w:p>
        </w:tc>
        <w:tc>
          <w:tcPr>
            <w:tcW w:type="dxa" w:w="2880"/>
          </w:tcPr>
          <w:p>
            <w:r>
              <w:t>3φ20</w:t>
            </w:r>
          </w:p>
        </w:tc>
      </w:tr>
      <w:tr>
        <w:tc>
          <w:tcPr>
            <w:tcW w:type="dxa" w:w="2880"/>
          </w:tcPr>
          <w:p>
            <w:r>
              <w:t>底层柱</w:t>
            </w:r>
          </w:p>
        </w:tc>
        <w:tc>
          <w:tcPr>
            <w:tcW w:type="dxa" w:w="2880"/>
          </w:tcPr>
          <w:p>
            <w:r>
              <w:t>250 × 350</w:t>
            </w:r>
          </w:p>
        </w:tc>
        <w:tc>
          <w:tcPr>
            <w:tcW w:type="dxa" w:w="2880"/>
          </w:tcPr>
          <w:p>
            <w:r>
              <w:t>4φ22</w:t>
            </w:r>
          </w:p>
        </w:tc>
      </w:tr>
      <w:tr>
        <w:tc>
          <w:tcPr>
            <w:tcW w:type="dxa" w:w="2880"/>
          </w:tcPr>
          <w:p>
            <w:r>
              <w:t>标准角柱</w:t>
            </w:r>
          </w:p>
        </w:tc>
        <w:tc>
          <w:tcPr>
            <w:tcW w:type="dxa" w:w="2880"/>
          </w:tcPr>
          <w:p>
            <w:r>
              <w:t>200 × 300</w:t>
            </w:r>
          </w:p>
        </w:tc>
        <w:tc>
          <w:tcPr>
            <w:tcW w:type="dxa" w:w="2880"/>
          </w:tcPr>
          <w:p>
            <w:r>
              <w:t>4φ22</w:t>
            </w:r>
          </w:p>
        </w:tc>
      </w:tr>
      <w:tr>
        <w:tc>
          <w:tcPr>
            <w:tcW w:type="dxa" w:w="2880"/>
          </w:tcPr>
          <w:p>
            <w:r>
              <w:t>标准内柱</w:t>
            </w:r>
          </w:p>
        </w:tc>
        <w:tc>
          <w:tcPr>
            <w:tcW w:type="dxa" w:w="2880"/>
          </w:tcPr>
          <w:p>
            <w:r>
              <w:t>200 × 350</w:t>
            </w:r>
          </w:p>
        </w:tc>
        <w:tc>
          <w:tcPr>
            <w:tcW w:type="dxa" w:w="2880"/>
          </w:tcPr>
          <w:p>
            <w:r>
              <w:t>4φ22</w:t>
            </w:r>
          </w:p>
        </w:tc>
      </w:tr>
      <w:tr>
        <w:tc>
          <w:tcPr>
            <w:tcW w:type="dxa" w:w="2880"/>
          </w:tcPr>
          <w:p>
            <w:r>
              <w:t>顶层柱</w:t>
            </w:r>
          </w:p>
        </w:tc>
        <w:tc>
          <w:tcPr>
            <w:tcW w:type="dxa" w:w="2880"/>
          </w:tcPr>
          <w:p>
            <w:r>
              <w:t>200 × 300</w:t>
            </w:r>
          </w:p>
        </w:tc>
        <w:tc>
          <w:tcPr>
            <w:tcW w:type="dxa" w:w="2880"/>
          </w:tcPr>
          <w:p>
            <w:r>
              <w:t>4φ22</w:t>
            </w:r>
          </w:p>
        </w:tc>
      </w:tr>
    </w:tbl>
    <w:p>
      <w:pPr>
        <w:pStyle w:val="Heading1"/>
      </w:pPr>
      <w:r>
        <w:t>3. 计算附图</w:t>
      </w:r>
    </w:p>
    <w:p>
      <w:r>
        <w:drawing>
          <wp:inline xmlns:a="http://schemas.openxmlformats.org/drawingml/2006/main" xmlns:pic="http://schemas.openxmlformats.org/drawingml/2006/picture">
            <wp:extent cx="5040000" cy="1655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5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40000" cy="1705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05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40000" cy="2496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61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