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2026-01-14 19:27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2.5 kN/m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1.35G+0.98Q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¥39,492</w:t>
        <w:br/>
      </w:r>
      <w:r>
        <w:rPr>
          <w:b/>
        </w:rPr>
        <w:t>• 优化后造价:   ¥24,485</w:t>
        <w:br/>
      </w:r>
      <w:r>
        <w:rPr>
          <w:color w:val="008000"/>
        </w:rPr>
        <w:t>• 成本节省:     ¥15,008 (优化率 38.0%)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500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0.94%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500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0.94%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250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1.74%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78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(1-3代): 算法通过选择和交叉快速淘汰劣质解，造价迅速降低。</w:t>
        <w:br/>
        <w:t>2. 精细调整期 (3-100代): 算法通过变异操作微调截面，探索局部最优解。</w:t>
        <w:br/>
        <w:t>3. 最终效果: 经过100代迭代，造价从初始的 39,492元 降低至 24,485元，体现了遗传算法在解决离散变量非线性优化问题上的优越性。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