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2025-12-25 23:18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26.0m，总宽度 16.0m。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(4.0m,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5.5m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35.0 kN/m</w:t>
      </w:r>
    </w:p>
    <w:p>
      <w:r>
        <w:t>• 活载 (Live Load): 20.0 kN/m</w:t>
      </w:r>
    </w:p>
    <w:p>
      <w:r>
        <w:t>• 荷载组合: 1.2×恒载 + 1.4×活载</w:t>
      </w:r>
    </w:p>
    <w:p>
      <w:pPr>
        <w:pStyle w:val="Heading2"/>
      </w:pPr>
      <w:r>
        <w:t>2.3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51 代遗传进化，得到最优设计方案如下：</w:t>
      </w:r>
    </w:p>
    <w:p>
      <w:r>
        <w:rPr>
          <w:color w:val="FF0000"/>
        </w:rPr>
        <w:t>总造价: ¥50,274.20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700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0.67%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700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0.67%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350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500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0.68%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2979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25 代进入稳定期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