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黑体"/>
        </w:rPr>
        <w:t>RC框架结构优化设计计算书</w:t>
      </w:r>
    </w:p>
    <w:p>
      <w:r>
        <w:t>生成日期: 2026-01-17 20:25</w:t>
      </w:r>
    </w:p>
    <w:p>
      <w:r>
        <w:t>Design by Antigravity AI Optimization System</w:t>
      </w:r>
    </w:p>
    <w:p>
      <w:pPr>
        <w:pStyle w:val="Heading1"/>
      </w:pPr>
      <w:r>
        <w:rPr>
          <w:rFonts w:ascii="Times New Roman" w:hAnsi="Times New Roman" w:eastAsia="黑体"/>
        </w:rPr>
        <w:t>1. 工程概况</w:t>
      </w:r>
    </w:p>
    <w:p>
      <w:r>
        <w:rPr>
          <w:b w:val="0"/>
        </w:rPr>
        <w:t>本工程为5层钢筋混凝土框架结构，</w:t>
      </w:r>
      <w:r>
        <w:rPr>
          <w:b w:val="0"/>
        </w:rPr>
        <w:t>总高度 18.0m，总宽度 18.0m。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结构形式</w:t>
            </w:r>
          </w:p>
        </w:tc>
        <w:tc>
          <w:tcPr>
            <w:tcW w:type="dxa" w:w="4320"/>
          </w:tcPr>
          <w:p>
            <w:r>
              <w:t>现浇钢筋混凝土框架结构</w:t>
            </w:r>
          </w:p>
        </w:tc>
      </w:tr>
      <w:tr>
        <w:tc>
          <w:tcPr>
            <w:tcW w:type="dxa" w:w="4320"/>
          </w:tcPr>
          <w:p>
            <w:r>
              <w:t>跨度信息</w:t>
            </w:r>
          </w:p>
        </w:tc>
        <w:tc>
          <w:tcPr>
            <w:tcW w:type="dxa" w:w="4320"/>
          </w:tcPr>
          <w:p>
            <w:r>
              <w:t>3跨 (6.0m, 6.0m, 6.0m)</w:t>
            </w:r>
          </w:p>
        </w:tc>
      </w:tr>
      <w:tr>
        <w:tc>
          <w:tcPr>
            <w:tcW w:type="dxa" w:w="4320"/>
          </w:tcPr>
          <w:p>
            <w:r>
              <w:t>层高信息</w:t>
            </w:r>
          </w:p>
        </w:tc>
        <w:tc>
          <w:tcPr>
            <w:tcW w:type="dxa" w:w="4320"/>
          </w:tcPr>
          <w:p>
            <w:r>
              <w:t>首层 4.0m, 标准层 3.5m</w:t>
            </w:r>
          </w:p>
        </w:tc>
      </w:tr>
      <w:tr>
        <w:tc>
          <w:tcPr>
            <w:tcW w:type="dxa" w:w="4320"/>
          </w:tcPr>
          <w:p>
            <w:r>
              <w:t>结构重要性系数</w:t>
            </w:r>
          </w:p>
        </w:tc>
        <w:tc>
          <w:tcPr>
            <w:tcW w:type="dxa" w:w="4320"/>
          </w:tcPr>
          <w:p>
            <w:r>
              <w:t>1.0 (丙类建筑)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2. 设计依据与方法</w:t>
      </w:r>
    </w:p>
    <w:p>
      <w:pPr>
        <w:pStyle w:val="Heading2"/>
      </w:pPr>
      <w:r>
        <w:t>2.1 执行规范</w:t>
      </w:r>
    </w:p>
    <w:p>
      <w:r>
        <w:t>1. 《工程结构通用规范》 (GB 55001-2021)</w:t>
      </w:r>
    </w:p>
    <w:p>
      <w:r>
        <w:t>2. 《混凝土结构设计规范》 (GB 50010-2010)</w:t>
      </w:r>
    </w:p>
    <w:p>
      <w:r>
        <w:t>3. 《建筑结构荷载规范》 (GB 50009-2012)</w:t>
      </w:r>
    </w:p>
    <w:p>
      <w:r>
        <w:t>4. 《建筑抗震设计规范》 (GB 50011-2010)</w:t>
      </w:r>
    </w:p>
    <w:p>
      <w:pPr>
        <w:pStyle w:val="Heading2"/>
      </w:pPr>
      <w:r>
        <w:t>2.2 荷载信息</w:t>
      </w:r>
    </w:p>
    <w:p>
      <w:r>
        <w:t>• 恒载 (Dead Load): 4.5 kN/m² (含楼板+装修)</w:t>
      </w:r>
    </w:p>
    <w:p>
      <w:r>
        <w:t>• 活载 (Live Load): 2.5 kN/m² (GB 55001-2021 表4.2.2)</w:t>
      </w:r>
    </w:p>
    <w:p>
      <w:r>
        <w:t>• 基本风压: 0.35 kN/m² (50年重现期)</w:t>
      </w:r>
    </w:p>
    <w:p>
      <w:r>
        <w:t>• 基本雪压: 0.55 kN/m² (50年重现期)</w:t>
      </w:r>
    </w:p>
    <w:p>
      <w:r>
        <w:t>• 水平地震影响系数: αmax = 0.08 (GB 50011-2010)</w:t>
      </w:r>
    </w:p>
    <w:p>
      <w:pPr>
        <w:pStyle w:val="Heading2"/>
      </w:pPr>
      <w:r>
        <w:t>2.3 荷载组合 (GB 55001-2021)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极限状态</w:t>
            </w:r>
          </w:p>
        </w:tc>
        <w:tc>
          <w:tcPr>
            <w:tcW w:type="dxa" w:w="4320"/>
          </w:tcPr>
          <w:p>
            <w:r>
              <w:t>荷载组合</w:t>
            </w:r>
          </w:p>
        </w:tc>
      </w:tr>
      <w:tr>
        <w:tc>
          <w:tcPr>
            <w:tcW w:type="dxa" w:w="4320"/>
          </w:tcPr>
          <w:p>
            <w:r>
              <w:t>承载能力 ULS</w:t>
            </w:r>
          </w:p>
        </w:tc>
        <w:tc>
          <w:tcPr>
            <w:tcW w:type="dxa" w:w="4320"/>
          </w:tcPr>
          <w:p>
            <w:r>
              <w:t>1.3G+1.5L, 1.3G+1.5W, 1.3G+1.05L+1.5W, 1.3G+1.5S</w:t>
            </w:r>
          </w:p>
        </w:tc>
      </w:tr>
      <w:tr>
        <w:tc>
          <w:tcPr>
            <w:tcW w:type="dxa" w:w="4320"/>
          </w:tcPr>
          <w:p>
            <w:r>
              <w:t>正常使用 SLS</w:t>
            </w:r>
          </w:p>
        </w:tc>
        <w:tc>
          <w:tcPr>
            <w:tcW w:type="dxa" w:w="4320"/>
          </w:tcPr>
          <w:p>
            <w:r>
              <w:t>G+Q (标准), G+0.5Q (准永久)</w:t>
            </w:r>
          </w:p>
        </w:tc>
      </w:tr>
    </w:tbl>
    <w:p>
      <w:pPr>
        <w:pStyle w:val="Heading2"/>
      </w:pPr>
      <w:r>
        <w:t>2.4 验算项目 (GB 50010-2010)</w:t>
      </w:r>
    </w:p>
    <w:p>
      <w:r>
        <w:t>• 正截面承载力验算 (受弯、偏压)</w:t>
      </w:r>
    </w:p>
    <w:p>
      <w:r>
        <w:t>• 斜截面承载力验算 (受剪)</w:t>
      </w:r>
    </w:p>
    <w:p>
      <w:r>
        <w:t>• 柱轴压比限值验算 (μ ≤ 0.9)</w:t>
      </w:r>
    </w:p>
    <w:p>
      <w:r>
        <w:t>• 最小/最大配筋率检查</w:t>
      </w:r>
    </w:p>
    <w:p>
      <w:r>
        <w:t>• 挠度限值验算 (l/200~l/250)</w:t>
      </w:r>
    </w:p>
    <w:p>
      <w:r>
        <w:t>• 裂缝宽度限值验算 (≤0.3mm)</w:t>
      </w:r>
    </w:p>
    <w:p>
      <w:pPr>
        <w:pStyle w:val="Heading2"/>
      </w:pPr>
      <w:r>
        <w:t>2.5 计算方法</w:t>
      </w:r>
    </w:p>
    <w:p>
      <w:r>
        <w:t>• 内力分析: 采用矩阵位移法 (anaStruct有限元内核)</w:t>
      </w:r>
    </w:p>
    <w:p>
      <w:r>
        <w:t>• 截面设计: 采用遗传算法 (PyGAD) 进行全局优化</w:t>
      </w:r>
    </w:p>
    <w:p>
      <w:r>
        <w:t>• 承载力验算: 考虑P-M相互作用 (柱) 和双向受力 (梁)</w:t>
      </w:r>
    </w:p>
    <w:p>
      <w:pPr>
        <w:pStyle w:val="Heading1"/>
      </w:pPr>
      <w:r>
        <w:rPr>
          <w:rFonts w:ascii="Times New Roman" w:hAnsi="Times New Roman" w:eastAsia="黑体"/>
        </w:rPr>
        <w:t>3. 优化结果</w:t>
      </w:r>
    </w:p>
    <w:p>
      <w:r>
        <w:t>经过 100 代遗传进化，优化算法展现了显著的效果：</w:t>
      </w:r>
    </w:p>
    <w:p>
      <w:r>
        <w:t>• 初始方案造价: ¥82,306</w:t>
        <w:br/>
      </w:r>
      <w:r>
        <w:rPr>
          <w:b/>
        </w:rPr>
        <w:t>• 优化后造价:   ¥57,433</w:t>
        <w:br/>
      </w:r>
      <w:r>
        <w:rPr>
          <w:color w:val="008000"/>
        </w:rPr>
        <w:t>• 成本节省:     ¥24,874 (优化率 30.2%)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构件类型</w:t>
            </w:r>
          </w:p>
        </w:tc>
        <w:tc>
          <w:tcPr>
            <w:tcW w:type="dxa" w:w="2160"/>
          </w:tcPr>
          <w:p>
            <w:r>
              <w:t>截面尺寸 (mm)</w:t>
            </w:r>
          </w:p>
        </w:tc>
        <w:tc>
          <w:tcPr>
            <w:tcW w:type="dxa" w:w="2160"/>
          </w:tcPr>
          <w:p>
            <w:r>
              <w:t>配筋配置</w:t>
            </w:r>
          </w:p>
        </w:tc>
        <w:tc>
          <w:tcPr>
            <w:tcW w:type="dxa" w:w="2160"/>
          </w:tcPr>
          <w:p>
            <w:r>
              <w:t>配筋率</w:t>
            </w:r>
          </w:p>
        </w:tc>
      </w:tr>
      <w:tr>
        <w:tc>
          <w:tcPr>
            <w:tcW w:type="dxa" w:w="2160"/>
          </w:tcPr>
          <w:p>
            <w:r>
              <w:t>标准层梁</w:t>
            </w:r>
          </w:p>
        </w:tc>
        <w:tc>
          <w:tcPr>
            <w:tcW w:type="dxa" w:w="2160"/>
          </w:tcPr>
          <w:p>
            <w:r>
              <w:t>200 × 600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0.78%</w:t>
            </w:r>
          </w:p>
        </w:tc>
      </w:tr>
      <w:tr>
        <w:tc>
          <w:tcPr>
            <w:tcW w:type="dxa" w:w="2160"/>
          </w:tcPr>
          <w:p>
            <w:r>
              <w:t>屋面梁</w:t>
            </w:r>
          </w:p>
        </w:tc>
        <w:tc>
          <w:tcPr>
            <w:tcW w:type="dxa" w:w="2160"/>
          </w:tcPr>
          <w:p>
            <w:r>
              <w:t>250 × 350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1.08%</w:t>
            </w:r>
          </w:p>
        </w:tc>
      </w:tr>
      <w:tr>
        <w:tc>
          <w:tcPr>
            <w:tcW w:type="dxa" w:w="2160"/>
          </w:tcPr>
          <w:p>
            <w:r>
              <w:t>底层柱</w:t>
            </w:r>
          </w:p>
        </w:tc>
        <w:tc>
          <w:tcPr>
            <w:tcW w:type="dxa" w:w="2160"/>
          </w:tcPr>
          <w:p>
            <w:r>
              <w:t>300 × 400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1.27%</w:t>
            </w:r>
          </w:p>
        </w:tc>
      </w:tr>
      <w:tr>
        <w:tc>
          <w:tcPr>
            <w:tcW w:type="dxa" w:w="2160"/>
          </w:tcPr>
          <w:p>
            <w:r>
              <w:t>标准角柱</w:t>
            </w:r>
          </w:p>
        </w:tc>
        <w:tc>
          <w:tcPr>
            <w:tcW w:type="dxa" w:w="2160"/>
          </w:tcPr>
          <w:p>
            <w:r>
              <w:t>200 × 300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2.53%</w:t>
            </w:r>
          </w:p>
        </w:tc>
      </w:tr>
      <w:tr>
        <w:tc>
          <w:tcPr>
            <w:tcW w:type="dxa" w:w="2160"/>
          </w:tcPr>
          <w:p>
            <w:r>
              <w:t>标准内柱</w:t>
            </w:r>
          </w:p>
        </w:tc>
        <w:tc>
          <w:tcPr>
            <w:tcW w:type="dxa" w:w="2160"/>
          </w:tcPr>
          <w:p>
            <w:r>
              <w:t>350 × 300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1.45%</w:t>
            </w:r>
          </w:p>
        </w:tc>
      </w:tr>
      <w:tr>
        <w:tc>
          <w:tcPr>
            <w:tcW w:type="dxa" w:w="2160"/>
          </w:tcPr>
          <w:p>
            <w:r>
              <w:t>顶层柱</w:t>
            </w:r>
          </w:p>
        </w:tc>
        <w:tc>
          <w:tcPr>
            <w:tcW w:type="dxa" w:w="2160"/>
          </w:tcPr>
          <w:p>
            <w:r>
              <w:t>200 × 500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1.52%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4. 计算附图与收敛分析</w:t>
      </w:r>
    </w:p>
    <w:p>
      <w:pPr>
        <w:pStyle w:val="Heading2"/>
      </w:pPr>
      <w:r>
        <w:t>4.1 框架内力重分布</w:t>
      </w:r>
    </w:p>
    <w:p>
      <w:r>
        <w:drawing>
          <wp:inline xmlns:a="http://schemas.openxmlformats.org/drawingml/2006/main" xmlns:pic="http://schemas.openxmlformats.org/drawingml/2006/picture">
            <wp:extent cx="5760000" cy="19689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框架内力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68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4-1: 框架弯矩、剪力、轴力包络图</w:t>
      </w:r>
    </w:p>
    <w:p>
      <w:r>
        <w:t>说明：通过优化梁柱刚度比，算法成功实现了内力重分布。观察弯矩图可见，梁端负弯矩与跨中正弯矩数值接近，表明截面材料利用率达到了最佳平衡状态。</w:t>
      </w:r>
    </w:p>
    <w:p>
      <w:pPr>
        <w:pStyle w:val="Heading2"/>
      </w:pPr>
      <w:r>
        <w:t>4.2 柱截面安全校核</w:t>
      </w:r>
    </w:p>
    <w:p>
      <w:r>
        <w:drawing>
          <wp:inline xmlns:a="http://schemas.openxmlformats.org/drawingml/2006/main" xmlns:pic="http://schemas.openxmlformats.org/drawingml/2006/picture">
            <wp:extent cx="5760000" cy="18924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92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4-2: 柱截面安全包络及荷载校核 (P-M曲线)</w:t>
      </w:r>
    </w:p>
    <w:p>
      <w:r>
        <w:t>说明：图中红色点代表实际荷载工况，蓝色曲线为截面承载力包络。所有红点均位于包络线内部，证明优化后的截面满足承载力要求，且贴近包络边界，说明设计经济合理。</w:t>
      </w:r>
    </w:p>
    <w:p>
      <w:pPr>
        <w:pStyle w:val="Heading2"/>
      </w:pPr>
      <w:r>
        <w:t>4.3 优化算法收敛过程</w:t>
      </w:r>
    </w:p>
    <w:p>
      <w:r>
        <w:drawing>
          <wp:inline xmlns:a="http://schemas.openxmlformats.org/drawingml/2006/main" xmlns:pic="http://schemas.openxmlformats.org/drawingml/2006/picture">
            <wp:extent cx="4320000" cy="2139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收敛曲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4-3: 遗传算法造价收敛曲线</w:t>
      </w:r>
    </w:p>
    <w:p>
      <w:r>
        <w:t>算法收敛分析：</w:t>
        <w:br/>
        <w:t>1. 快速下降期 (1-1代): 算法通过选择和交叉快速淘汰劣质解，造价迅速降低。</w:t>
        <w:br/>
        <w:t>2. 精细调整期 (1-100代): 算法通过变异操作微调截面，探索局部最优解。</w:t>
        <w:br/>
        <w:t>3. 最终效果: 经过100代迭代，造价从初始的 82,306元 降低至 57,433元，体现了遗传算法在解决离散变量非线性优化问题上的优越性。</w:t>
      </w:r>
    </w:p>
    <w:p>
      <w:pPr>
        <w:pStyle w:val="Heading2"/>
      </w:pPr>
      <w:r>
        <w:t>4.4 水平荷载效应分析</w:t>
      </w:r>
    </w:p>
    <w:p>
      <w:r>
        <w:drawing>
          <wp:inline xmlns:a="http://schemas.openxmlformats.org/drawingml/2006/main" xmlns:pic="http://schemas.openxmlformats.org/drawingml/2006/picture">
            <wp:extent cx="5760000" cy="35700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水平荷载效应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70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4-4: 水平荷载效应分布图 (地震/风荷载)</w:t>
      </w:r>
    </w:p>
    <w:p>
      <w:r>
        <w:t>水平荷载效应分析说明：</w:t>
        <w:br/>
        <w:t>1. 计算方法: 采用GB 50011-2010底部剪力法。</w:t>
        <w:br/>
        <w:t>2. 水平力分布: 按各楼层重力荷载与高度乘积比例分配，顶层水平力最大。</w:t>
        <w:br/>
        <w:t>3. 层间剪力: 从顶层至底层逐层累加，基底剪力等于各层水平力总和。</w:t>
        <w:br/>
        <w:t>4. 倾覆力矩: 各层水平力对基础产生的力矩总和，用于计算柱轴力增量。</w:t>
        <w:br/>
        <w:t>5. 柱轴力增量: 边柱轴力增量 dN = M_total / B，影响柱截面设计。</w:t>
      </w:r>
    </w:p>
    <w:p>
      <w:r>
        <w:br/>
        <w:t>设计参数：</w:t>
        <w:br/>
        <w:t>• 水平地震影响系数最大值 amax = 0.08</w:t>
        <w:br/>
        <w:t>• 结构基本周期 T1 = 0.08 x N = 0.08 x 5 = 0.40s</w:t>
        <w:br/>
        <w:t>• 设计地震分组: 2组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