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</w:rPr>
        <w:t>RC框架结构优化设计计算书</w:t>
      </w:r>
    </w:p>
    <w:p>
      <w:r>
        <w:t>生成日期: 2025-12-31 18:13</w:t>
      </w:r>
    </w:p>
    <w:p>
      <w:r>
        <w:t>Design by Antigravity AI Optimization System</w:t>
      </w:r>
    </w:p>
    <w:p>
      <w:pPr>
        <w:pStyle w:val="Heading1"/>
      </w:pPr>
      <w:r>
        <w:rPr>
          <w:rFonts w:ascii="Times New Roman" w:hAnsi="Times New Roman" w:eastAsia="黑体"/>
        </w:rP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18.0m。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r>
        <w:t>• 基本风压: 0.45 kN/m² (GB 50009-2012)</w:t>
      </w:r>
    </w:p>
    <w:p>
      <w:r>
        <w:t>• 基本雪压: 0.35 kN/m² (GB 50009-2012)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1.2G+1.4W, 1.2G+0.98Q+1.4W, 1.2G+1.4S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rPr>
          <w:rFonts w:ascii="Times New Roman" w:hAnsi="Times New Roman" w:eastAsia="黑体"/>
        </w:rPr>
        <w:t>3. 优化结果</w:t>
      </w:r>
    </w:p>
    <w:p>
      <w:r>
        <w:t>经过 100 代遗传进化，优化算法展现了显著的效果：</w:t>
      </w:r>
    </w:p>
    <w:p>
      <w:r>
        <w:t>• 初始方案造价: ¥38,012</w:t>
        <w:br/>
      </w:r>
      <w:r>
        <w:rPr>
          <w:b/>
        </w:rPr>
        <w:t>• 优化后造价:   ¥28,012</w:t>
        <w:br/>
      </w:r>
      <w:r>
        <w:rPr>
          <w:color w:val="008000"/>
        </w:rPr>
        <w:t>• 成本节省:     ¥10,000 (优化率 26.3%)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底层柱</w:t>
            </w:r>
          </w:p>
        </w:tc>
        <w:tc>
          <w:tcPr>
            <w:tcW w:type="dxa" w:w="2160"/>
          </w:tcPr>
          <w:p>
            <w:r>
              <w:t>250 × 400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1.52%</w:t>
            </w:r>
          </w:p>
        </w:tc>
      </w:tr>
      <w:tr>
        <w:tc>
          <w:tcPr>
            <w:tcW w:type="dxa" w:w="2160"/>
          </w:tcPr>
          <w:p>
            <w:r>
              <w:t>标准角柱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  <w:tr>
        <w:tc>
          <w:tcPr>
            <w:tcW w:type="dxa" w:w="2160"/>
          </w:tcPr>
          <w:p>
            <w:r>
              <w:t>标准内柱</w:t>
            </w:r>
          </w:p>
        </w:tc>
        <w:tc>
          <w:tcPr>
            <w:tcW w:type="dxa" w:w="2160"/>
          </w:tcPr>
          <w:p>
            <w:r>
              <w:t>200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2.53%</w:t>
            </w:r>
          </w:p>
        </w:tc>
      </w:tr>
      <w:tr>
        <w:tc>
          <w:tcPr>
            <w:tcW w:type="dxa" w:w="2160"/>
          </w:tcPr>
          <w:p>
            <w:r>
              <w:t>顶层柱</w:t>
            </w:r>
          </w:p>
        </w:tc>
        <w:tc>
          <w:tcPr>
            <w:tcW w:type="dxa" w:w="2160"/>
          </w:tcPr>
          <w:p>
            <w:r>
              <w:t>250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2.03%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4. 计算附图与收敛分析</w:t>
      </w:r>
    </w:p>
    <w:p>
      <w:pPr>
        <w:pStyle w:val="Heading2"/>
      </w:pPr>
      <w:r>
        <w:t>4.1 框架内力重分布</w:t>
      </w:r>
    </w:p>
    <w:p>
      <w:r>
        <w:drawing>
          <wp:inline xmlns:a="http://schemas.openxmlformats.org/drawingml/2006/main" xmlns:pic="http://schemas.openxmlformats.org/drawingml/2006/picture">
            <wp:extent cx="5760000" cy="1976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6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r>
        <w:t>说明：通过优化梁柱刚度比，算法成功实现了内力重分布。观察弯矩图可见，梁端负弯矩与跨中正弯矩数值接近，表明截面材料利用率达到了最佳平衡状态。</w:t>
      </w:r>
    </w:p>
    <w:p>
      <w:pPr>
        <w:pStyle w:val="Heading2"/>
      </w:pPr>
      <w:r>
        <w:t>4.2 柱截面安全校核</w:t>
      </w:r>
    </w:p>
    <w:p>
      <w:r>
        <w:drawing>
          <wp:inline xmlns:a="http://schemas.openxmlformats.org/drawingml/2006/main" xmlns:pic="http://schemas.openxmlformats.org/drawingml/2006/picture">
            <wp:extent cx="5760000" cy="1892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 (P-M曲线)</w:t>
      </w:r>
    </w:p>
    <w:p>
      <w:r>
        <w:t>说明：图中红色点代表实际荷载工况，蓝色曲线为截面承载力包络。所有红点均位于包络线内部，证明优化后的截面满足承载力要求，且贴近包络边界，说明设计经济合理。</w:t>
      </w:r>
    </w:p>
    <w:p>
      <w:pPr>
        <w:pStyle w:val="Heading2"/>
      </w:pPr>
      <w:r>
        <w:t>4.3 优化算法收敛过程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算法收敛分析：</w:t>
        <w:br/>
        <w:t>1. 快速下降期 (1-1代): 算法通过选择和交叉快速淘汰劣质解，造价迅速降低。</w:t>
        <w:br/>
        <w:t>2. 精细调整期 (1-100代): 算法通过变异操作微调截面，探索局部最优解。</w:t>
        <w:br/>
        <w:t>3. 最终效果: 经过100代迭代，造价从初始的 38,012元 降低至 27,729元，体现了遗传算法在解决离散变量非线性优化问题上的优越性。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