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2026-01-09 22:24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¥33,049</w:t>
        <w:br/>
      </w:r>
      <w:r>
        <w:rPr>
          <w:b/>
        </w:rPr>
        <w:t>• 优化后造价:   ¥4,345,447,802,785</w:t>
        <w:br/>
      </w:r>
      <w:r>
        <w:rPr>
          <w:color w:val="008000"/>
        </w:rPr>
        <w:t>• 成本节省:     ¥-4,345,447,769,736 (优化率 -13148554122.0%)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300 × 350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0.90%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550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0.86%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300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1.27%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350 × 450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0.97%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600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1.01%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8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8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5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(1-2代): 算法通过选择和交叉快速淘汰劣质解，造价迅速降低。</w:t>
        <w:br/>
        <w:t>2. 精细调整期 (2-100代): 算法通过变异操作微调截面，探索局部最优解。</w:t>
        <w:br/>
        <w:t>3. 最终效果: 经过100代迭代，造价从初始的 33,049元 降低至 30,225元，体现了遗传算法在解决离散变量非线性优化问题上的优越性。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