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RC框架结构优化设计计算书</w:t>
      </w:r>
    </w:p>
    <w:p>
      <w:r>
        <w:t>生成日期: 2025-12-30 20:15</w:t>
      </w:r>
    </w:p>
    <w:p>
      <w:r>
        <w:t>Design by Antigravity AI Optimization System</w:t>
      </w:r>
    </w:p>
    <w:p>
      <w:pPr>
        <w:pStyle w:val="Heading1"/>
      </w:pPr>
      <w:r>
        <w:t>1. 工程概况</w:t>
      </w:r>
    </w:p>
    <w:p>
      <w:r>
        <w:rPr>
          <w:b w:val="0"/>
        </w:rPr>
        <w:t>本工程为6层钢筋混凝土框架结构，</w:t>
      </w:r>
      <w:r>
        <w:rPr>
          <w:b w:val="0"/>
        </w:rPr>
        <w:t>总高度 21.5m，总宽度 36.0m。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6跨 (6.0m, 6.0m, 6.0m, 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r>
        <w:t>• 基本风压: 0.45 kN/m² (GB 50009-2012)</w:t>
      </w:r>
    </w:p>
    <w:p>
      <w:r>
        <w:t>• 基本雪压: 0.35 kN/m² (GB 50009-2012)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1.2G+1.4W, 1.2G+0.98Q+1.4W, 1.2G+1.4S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t>3. 优化结果</w:t>
      </w:r>
    </w:p>
    <w:p>
      <w:r>
        <w:t>经过 101 代遗传进化，得到最优设计方案如下：</w:t>
      </w:r>
    </w:p>
    <w:p>
      <w:r>
        <w:rPr>
          <w:color w:val="FF0000"/>
        </w:rPr>
        <w:t>总造价: ¥94,048.14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550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0.86%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250 × 700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0.54%</w:t>
            </w:r>
          </w:p>
        </w:tc>
      </w:tr>
      <w:tr>
        <w:tc>
          <w:tcPr>
            <w:tcW w:type="dxa" w:w="2160"/>
          </w:tcPr>
          <w:p>
            <w:r>
              <w:t>角柱</w:t>
            </w:r>
          </w:p>
        </w:tc>
        <w:tc>
          <w:tcPr>
            <w:tcW w:type="dxa" w:w="2160"/>
          </w:tcPr>
          <w:p>
            <w:r>
              <w:t>450 × 500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0.68%</w:t>
            </w:r>
          </w:p>
        </w:tc>
      </w:tr>
      <w:tr>
        <w:tc>
          <w:tcPr>
            <w:tcW w:type="dxa" w:w="2160"/>
          </w:tcPr>
          <w:p>
            <w:r>
              <w:t>内柱</w:t>
            </w:r>
          </w:p>
        </w:tc>
        <w:tc>
          <w:tcPr>
            <w:tcW w:type="dxa" w:w="2160"/>
          </w:tcPr>
          <w:p>
            <w:r>
              <w:t>400 × 550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0.69%</w:t>
            </w:r>
          </w:p>
        </w:tc>
      </w:tr>
    </w:tbl>
    <w:p>
      <w:pPr>
        <w:pStyle w:val="Heading1"/>
      </w:pPr>
      <w:r>
        <w:t>4. 计算附图</w:t>
      </w:r>
    </w:p>
    <w:p>
      <w:pPr>
        <w:pStyle w:val="Heading2"/>
      </w:pPr>
      <w:r>
        <w:t>4.1 框架内力图</w:t>
      </w:r>
    </w:p>
    <w:p>
      <w:r>
        <w:drawing>
          <wp:inline xmlns:a="http://schemas.openxmlformats.org/drawingml/2006/main" xmlns:pic="http://schemas.openxmlformats.org/drawingml/2006/picture">
            <wp:extent cx="5760000" cy="13072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072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pPr>
        <w:pStyle w:val="Heading2"/>
      </w:pPr>
      <w:r>
        <w:t>4.2 柱P-M相互作用曲线</w:t>
      </w:r>
    </w:p>
    <w:p>
      <w:r>
        <w:drawing>
          <wp:inline xmlns:a="http://schemas.openxmlformats.org/drawingml/2006/main" xmlns:pic="http://schemas.openxmlformats.org/drawingml/2006/picture">
            <wp:extent cx="5760000" cy="28489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489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</w:t>
      </w:r>
    </w:p>
    <w:p>
      <w:pPr>
        <w:pStyle w:val="Heading2"/>
      </w:pPr>
      <w:r>
        <w:t>4.3 优化收敛过程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收敛代数: 约第 10 代进入稳定期 (变化率&lt;1%)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