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Research Plan</w:t>
      </w:r>
    </w:p>
    <w:p>
      <w:pPr>
        <w:jc w:val="center"/>
      </w:pPr>
      <w:r>
        <w:rPr>
          <w:b/>
          <w:sz w:val="28"/>
        </w:rPr>
        <w:t>Continuous Clinical Assurance for Healthcare Artificial Intelligence:</w:t>
        <w:br/>
        <w:t>A Risk-Adaptive Framework for Lifecycle Governance, Monitoring, and Human Oversight</w:t>
      </w:r>
    </w:p>
    <w:p>
      <w:pPr>
        <w:jc w:val="center"/>
      </w:pPr>
      <w:r>
        <w:rPr>
          <w:i/>
        </w:rPr>
        <w:t>Working research plan • September 2026</w:t>
      </w:r>
    </w:p>
    <w:p>
      <w:pPr>
        <w:pStyle w:val="Heading1"/>
      </w:pPr>
      <w:r>
        <w:t>1. Background and Rationale</w:t>
      </w:r>
    </w:p>
    <w:p>
      <w:r>
        <w:t>Healthcare AI governance has traditionally emphasized pre-deployment activities such as model validation, regulatory assessment, data governance, risk assessment, documentation, and human oversight. However, deployment introduces a dynamic environment in which patient populations, data distributions, clinical workflows, model behavior, clinician behavior, and AI system configurations can change over time.</w:t>
      </w:r>
    </w:p>
    <w:p>
      <w:r>
        <w:t>Consequently, evidence generated during development or pre-deployment validation may not adequately establish that an AI system remains safe, reliable, and clinically appropriate during real-world operation.</w:t>
      </w:r>
    </w:p>
    <w:p>
      <w:r>
        <w:t>The central research gap is therefore: Healthcare AI governance needs a more operationalized approach for translating governance principles into continuously measurable evidence of clinical safety and reliability after deployment.</w:t>
      </w:r>
    </w:p>
    <w:p>
      <w:r>
        <w:t>This research proposes Continuous Clinical Assurance (CCA) as a lifecycle approach that connects governance requirements with measurable evidence, continuous monitoring, risk detection, adaptive intervention, and organizational learning.</w:t>
      </w:r>
    </w:p>
    <w:p>
      <w:pPr>
        <w:pStyle w:val="Heading1"/>
      </w:pPr>
      <w:r>
        <w:t>2. Central Research Question</w:t>
      </w:r>
    </w:p>
    <w:p>
      <w:pPr>
        <w:pStyle w:val="Heading2"/>
      </w:pPr>
      <w:r>
        <w:t>Primary research question</w:t>
      </w:r>
    </w:p>
    <w:p>
      <w:r>
        <w:t>How can healthcare AI governance be operationalized as a continuous clinical assurance process that detects and responds to changes in AI reliability, uncertainty, human oversight, and operational risk throughout the AI lifecycle?</w:t>
      </w:r>
    </w:p>
    <w:p>
      <w:pPr>
        <w:pStyle w:val="Heading2"/>
      </w:pPr>
      <w:r>
        <w:t>Secondary research questions</w:t>
      </w:r>
    </w:p>
    <w:p>
      <w:pPr>
        <w:pStyle w:val="ListBullet"/>
      </w:pPr>
      <w:r>
        <w:t>What dimensions should constitute continuous clinical assurance?</w:t>
      </w:r>
    </w:p>
    <w:p>
      <w:pPr>
        <w:pStyle w:val="ListBullet"/>
      </w:pPr>
      <w:r>
        <w:t>Which measurable indicators can detect deterioration in AI safety or reliability?</w:t>
      </w:r>
    </w:p>
    <w:p>
      <w:pPr>
        <w:pStyle w:val="ListBullet"/>
      </w:pPr>
      <w:r>
        <w:t>Can calibration and uncertainty metrics serve as early-warning governance signals?</w:t>
      </w:r>
    </w:p>
    <w:p>
      <w:pPr>
        <w:pStyle w:val="ListBullet"/>
      </w:pPr>
      <w:r>
        <w:t>How can the effectiveness of human oversight be measured rather than simply documented?</w:t>
      </w:r>
    </w:p>
    <w:p>
      <w:pPr>
        <w:pStyle w:val="ListBullet"/>
      </w:pPr>
      <w:r>
        <w:t>Can governance interventions be linked to predefined risk thresholds?</w:t>
      </w:r>
    </w:p>
    <w:p>
      <w:pPr>
        <w:pStyle w:val="ListBullet"/>
      </w:pPr>
      <w:r>
        <w:t>How can the framework accommodate conventional machine learning, generative AI, and agentic AI?</w:t>
      </w:r>
    </w:p>
    <w:p>
      <w:pPr>
        <w:pStyle w:val="Heading1"/>
      </w:pPr>
      <w:r>
        <w:t>3. Research Gap</w:t>
      </w:r>
    </w:p>
    <w:p>
      <w:pPr>
        <w:pStyle w:val="Heading2"/>
      </w:pPr>
      <w:r>
        <w:t>Gap 1 — Static versus continuous governance</w:t>
      </w:r>
    </w:p>
    <w:p>
      <w:r>
        <w:t>Existing governance approaches increasingly recognize lifecycle management, but there remains a need for operational methods that specify how organizations continuously demonstrate assurance after deployment.</w:t>
      </w:r>
    </w:p>
    <w:p>
      <w:pPr>
        <w:pStyle w:val="Heading2"/>
      </w:pPr>
      <w:r>
        <w:t>Gap 2 — Principles versus measurements</w:t>
      </w:r>
    </w:p>
    <w:p>
      <w:r>
        <w:t>Governance principles such as safety, transparency, accountability, and human oversight are well established. A less-developed question is what organizations should measure routinely to determine whether those principles remain satisfied in practice.</w:t>
      </w:r>
    </w:p>
    <w:p>
      <w:pPr>
        <w:pStyle w:val="Heading2"/>
      </w:pPr>
      <w:r>
        <w:t>Gap 3 — Model performance versus clinical operation</w:t>
      </w:r>
    </w:p>
    <w:p>
      <w:r>
        <w:t>Traditional monitoring emphasizes model-level metrics such as accuracy, discrimination, sensitivity, specificity, and calibration. Safe healthcare deployment also depends on workflow behavior, clinician interaction, escalation, overrides, automation bias, operational failures, and clinical consequences.</w:t>
      </w:r>
    </w:p>
    <w:p>
      <w:pPr>
        <w:pStyle w:val="Heading2"/>
      </w:pPr>
      <w:r>
        <w:t>Gap 4 — Human-in-the-loop versus effective human oversight</w:t>
      </w:r>
    </w:p>
    <w:p>
      <w:r>
        <w:t>Documenting that a human is in the loop does not establish that the human can see, understand, challenge, override, or appropriately act on an AI output. Effective oversight therefore requires measurable evidence of detection and intervention capability.</w:t>
      </w:r>
    </w:p>
    <w:p>
      <w:pPr>
        <w:pStyle w:val="Heading1"/>
      </w:pPr>
      <w:r>
        <w:t>4. Conceptual Framework: Continuous Clinical Assurance</w:t>
      </w:r>
    </w:p>
    <w:p>
      <w:r>
        <w:t>CCA is proposed as a continuous governance cycle with six functions:</w:t>
      </w:r>
    </w:p>
    <w:p>
      <w:pPr>
        <w:pStyle w:val="ListNumber"/>
      </w:pPr>
      <w:r>
        <w:t>Govern — Define intended use, risk classification, accountability, human-oversight requirements, acceptable operating boundaries, and escalation rules.</w:t>
      </w:r>
    </w:p>
    <w:p>
      <w:pPr>
        <w:pStyle w:val="ListNumber"/>
      </w:pPr>
      <w:r>
        <w:t>Measure — Establish baseline evidence for performance, calibration, uncertainty, robustness, human interaction, and workflow behavior.</w:t>
      </w:r>
    </w:p>
    <w:p>
      <w:pPr>
        <w:pStyle w:val="ListNumber"/>
      </w:pPr>
      <w:r>
        <w:t>Monitor — Continuously observe performance drift, data drift, calibration drift, population changes, workflow changes, human behavior, and system changes.</w:t>
      </w:r>
    </w:p>
    <w:p>
      <w:pPr>
        <w:pStyle w:val="ListNumber"/>
      </w:pPr>
      <w:r>
        <w:t>Detect — Identify deviations using statistical thresholds, drift detection, calibration monitoring, near-miss detection, and human-override signals.</w:t>
      </w:r>
    </w:p>
    <w:p>
      <w:pPr>
        <w:pStyle w:val="ListNumber"/>
      </w:pPr>
      <w:r>
        <w:t>Intervene — Trigger predefined responses such as human review, increased supervision, restricted deployment, recalibration, retraining, workflow modification, or rollback.</w:t>
      </w:r>
    </w:p>
    <w:p>
      <w:pPr>
        <w:pStyle w:val="ListNumber"/>
      </w:pPr>
      <w:r>
        <w:t>Learn — Feed operational evidence back into validation, governance policies, model development, workflow design, and risk thresholds.</w:t>
      </w:r>
    </w:p>
    <w:p>
      <w:r>
        <w:t>The cycle is continuous rather than linear: evidence from monitoring and intervention feeds back into governance and subsequent measurement.</w:t>
      </w:r>
    </w:p>
    <w:p>
      <w:pPr>
        <w:pStyle w:val="Heading1"/>
      </w:pPr>
      <w:r>
        <w:t>5. Five Assurance Domains</w:t>
      </w:r>
    </w:p>
    <w:p>
      <w:pPr>
        <w:pStyle w:val="Heading2"/>
      </w:pPr>
      <w:r>
        <w:t>Domain A — Clinical Context Assurance</w:t>
      </w:r>
    </w:p>
    <w:p>
      <w:r>
        <w:t>Determine whether the AI is being used within the population, indication, workflow, and clinical context for which it was validated.</w:t>
      </w:r>
    </w:p>
    <w:p>
      <w:r>
        <w:t>Candidate indicators include population drift, indication drift, input-data quality, missingness, and distributional shift.</w:t>
      </w:r>
    </w:p>
    <w:p>
      <w:pPr>
        <w:pStyle w:val="Heading2"/>
      </w:pPr>
      <w:r>
        <w:t>Domain B — Performance and Uncertainty Assurance</w:t>
      </w:r>
    </w:p>
    <w:p>
      <w:r>
        <w:t>Monitor predictive performance and the relationship between AI confidence and observed correctness.</w:t>
      </w:r>
    </w:p>
    <w:p>
      <w:r>
        <w:t>Candidate indicators include sensitivity, specificity, discrimination, calibration error, Brier score, expected calibration error, confidence distributions, abstention rate, and error severity. This domain directly extends the research program on confidence calibration and clinician trust.</w:t>
      </w:r>
    </w:p>
    <w:p>
      <w:pPr>
        <w:pStyle w:val="Heading2"/>
      </w:pPr>
      <w:r>
        <w:t>Domain C — Human Oversight Assurance</w:t>
      </w:r>
    </w:p>
    <w:p>
      <w:r>
        <w:t>Assess whether human oversight is functionally effective rather than merely present.</w:t>
      </w:r>
    </w:p>
    <w:p>
      <w:r>
        <w:t>Candidate indicators include review rate, override rate, appropriate override rate, inappropriate acceptance, intervention latency, error-detection rate, and escalation compliance.</w:t>
      </w:r>
    </w:p>
    <w:p>
      <w:pPr>
        <w:pStyle w:val="Heading2"/>
      </w:pPr>
      <w:r>
        <w:t>Domain D — Operational and Workflow Assurance</w:t>
      </w:r>
    </w:p>
    <w:p>
      <w:r>
        <w:t>Monitor whether AI creates risks at the workflow level even when model-level performance appears acceptable.</w:t>
      </w:r>
    </w:p>
    <w:p>
      <w:r>
        <w:t>Candidate indicators include workflow completion, escalation failures, alert burden, turnaround time, task abandonment, downstream errors, and near misses.</w:t>
      </w:r>
    </w:p>
    <w:p>
      <w:pPr>
        <w:pStyle w:val="Heading2"/>
      </w:pPr>
      <w:r>
        <w:t>Domain E — Lifecycle Assurance</w:t>
      </w:r>
    </w:p>
    <w:p>
      <w:r>
        <w:t>Monitor changes in model versions, prompts, retrieval corpora, data, algorithms, workflows, and performance.</w:t>
      </w:r>
    </w:p>
    <w:p>
      <w:r>
        <w:t>This domain is particularly important for generative and agentic AI systems, in which system behavior can change through updates to models, prompts, tools, or knowledge sources.</w:t>
      </w:r>
    </w:p>
    <w:p>
      <w:pPr>
        <w:pStyle w:val="Heading1"/>
      </w:pPr>
      <w:r>
        <w:t>6. Scientific Model</w:t>
      </w:r>
    </w:p>
    <w:p>
      <w:r>
        <w:t>Rather than initially reducing governance to an arbitrary single score, assurance should be represented as a multidimensional state:</w:t>
      </w:r>
    </w:p>
    <w:p>
      <w:pPr>
        <w:jc w:val="center"/>
      </w:pPr>
      <w:r>
        <w:rPr>
          <w:b/>
        </w:rPr>
        <w:t>Aₜ = (Cₜ, Pₜ, Uₜ, Hₜ, Oₜ, Lₜ)</w:t>
      </w:r>
    </w:p>
    <w:p>
      <w:r>
        <w:t>where Cₜ represents clinical-context validity; Pₜ performance; Uₜ uncertainty and calibration; Hₜ human oversight; Oₜ operational safety; and Lₜ lifecycle stability.</w:t>
      </w:r>
    </w:p>
    <w:p>
      <w:r>
        <w:t>The system is then evaluated against a validated operating envelope. The central question becomes: Is the AI system currently operating within its validated assurance envelope? This approach avoids prematurely creating an arbitrary governance score and preserves the multidimensional nature of clinical risk.</w:t>
      </w:r>
    </w:p>
    <w:p>
      <w:pPr>
        <w:pStyle w:val="Heading1"/>
      </w:pPr>
      <w:r>
        <w:t>7. Research Hypotheses</w:t>
      </w:r>
    </w:p>
    <w:p>
      <w:r>
        <w:rPr>
          <w:b/>
        </w:rPr>
        <w:t xml:space="preserve">H1 — Continuous monitoring: </w:t>
      </w:r>
      <w:r>
        <w:t>Continuous multidimensional monitoring detects clinically relevant AI risk earlier than conventional monitoring based primarily on model-performance metrics.</w:t>
      </w:r>
    </w:p>
    <w:p>
      <w:r>
        <w:rPr>
          <w:b/>
        </w:rPr>
        <w:t xml:space="preserve">H2 — Calibration: </w:t>
      </w:r>
      <w:r>
        <w:t>Temporal deterioration in confidence calibration provides an earlier indicator of emerging clinical AI risk than deterioration in aggregate predictive performance alone.</w:t>
      </w:r>
    </w:p>
    <w:p>
      <w:r>
        <w:rPr>
          <w:b/>
        </w:rPr>
        <w:t xml:space="preserve">H3 — Human oversight: </w:t>
      </w:r>
      <w:r>
        <w:t>Measures of effective human oversight provide additional information about clinical AI safety beyond the documented presence of human review.</w:t>
      </w:r>
    </w:p>
    <w:p>
      <w:r>
        <w:rPr>
          <w:b/>
        </w:rPr>
        <w:t xml:space="preserve">H4 — Operational risk: </w:t>
      </w:r>
      <w:r>
        <w:t>Workflow-level indicators identify clinically relevant AI failures that are not detectable through model-level performance metrics alone.</w:t>
      </w:r>
    </w:p>
    <w:p>
      <w:r>
        <w:rPr>
          <w:b/>
        </w:rPr>
        <w:t xml:space="preserve">H5 — Risk-adaptive intervention: </w:t>
      </w:r>
      <w:r>
        <w:t>Predefined, risk-triggered governance interventions reduce the persistence and/or severity of detected AI safety deviations.</w:t>
      </w:r>
    </w:p>
    <w:p>
      <w:pPr>
        <w:pStyle w:val="Heading1"/>
      </w:pPr>
      <w:r>
        <w:t>8. Study Design</w:t>
      </w:r>
    </w:p>
    <w:p>
      <w:pPr>
        <w:pStyle w:val="Heading2"/>
      </w:pPr>
      <w:r>
        <w:t>Phase I — Framework development</w:t>
      </w:r>
    </w:p>
    <w:p>
      <w:r>
        <w:t>Conduct a structured synthesis of major healthcare AI governance and lifecycle-assurance sources, including FDA guidance, NIST AI Risk Management Framework materials, WHO guidance, IMDRF Good Machine Learning Practice principles, and relevant peer-reviewed literature.</w:t>
      </w:r>
    </w:p>
    <w:p>
      <w:r>
        <w:t>Map governance requirements into the five CCA domains and produce a Clinical AI Assurance Taxonomy and Control Matrix.</w:t>
      </w:r>
    </w:p>
    <w:p>
      <w:pPr>
        <w:pStyle w:val="Heading2"/>
      </w:pPr>
      <w:r>
        <w:t>Phase II — Empirical framework validation</w:t>
      </w:r>
    </w:p>
    <w:p>
      <w:r>
        <w:t>Evaluate the framework using clinical AI tasks for which predictions, confidence, outcomes, and human interaction can be observed. Retrospective clinical datasets may be used to establish feasibility and conduct controlled simulations, while clearly distinguishing retrospective simulation from prospective clinical deployment.</w:t>
      </w:r>
    </w:p>
    <w:p>
      <w:r>
        <w:t>Introduce controlled perturbations representing realistic post-deployment changes, including data drift, temporal drift, missingness, calibration drift, population shift, workflow perturbation, and model/system changes.</w:t>
      </w:r>
    </w:p>
    <w:p>
      <w:pPr>
        <w:pStyle w:val="Heading2"/>
      </w:pPr>
      <w:r>
        <w:t>Phase III — Governance intervention experiment</w:t>
      </w:r>
    </w:p>
    <w:p>
      <w:r>
        <w:t>Compare conventional monitoring with CCA monitoring. Under CCA, predefined risk thresholds trigger specified governance interventions, such as mandatory human review, restricted use, recalibration, workflow investigation, or model rollback.</w:t>
      </w:r>
    </w:p>
    <w:p>
      <w:r>
        <w:t>Evaluate whether multidimensional monitoring and intervention reduce detection time, missed risk, persistent errors, and residual operational or clinical risk.</w:t>
      </w:r>
    </w:p>
    <w:p>
      <w:pPr>
        <w:pStyle w:val="Heading1"/>
      </w:pPr>
      <w:r>
        <w:t>9. Primary and Secondary Outcomes</w:t>
      </w:r>
    </w:p>
    <w:p>
      <w:pPr>
        <w:pStyle w:val="Heading2"/>
      </w:pPr>
      <w:r>
        <w:t>Primary outcome</w:t>
      </w:r>
    </w:p>
    <w:p>
      <w:r>
        <w:t>Time to Detection of clinically relevant AI risk: the elapsed time between emergence of a clinically meaningful deviation from the validated operating envelope and detection by the governance system.</w:t>
      </w:r>
    </w:p>
    <w:p>
      <w:pPr>
        <w:pStyle w:val="Heading2"/>
      </w:pPr>
      <w:r>
        <w:t>Secondary outcomes</w:t>
      </w:r>
    </w:p>
    <w:p>
      <w:pPr>
        <w:pStyle w:val="ListBullet"/>
      </w:pPr>
      <w:r>
        <w:t>False-positive governance alerts</w:t>
      </w:r>
    </w:p>
    <w:p>
      <w:pPr>
        <w:pStyle w:val="ListBullet"/>
      </w:pPr>
      <w:r>
        <w:t>Missed-risk events</w:t>
      </w:r>
    </w:p>
    <w:p>
      <w:pPr>
        <w:pStyle w:val="ListBullet"/>
      </w:pPr>
      <w:r>
        <w:t>Calibration deterioration</w:t>
      </w:r>
    </w:p>
    <w:p>
      <w:pPr>
        <w:pStyle w:val="ListBullet"/>
      </w:pPr>
      <w:r>
        <w:t>Inappropriate AI acceptance</w:t>
      </w:r>
    </w:p>
    <w:p>
      <w:pPr>
        <w:pStyle w:val="ListBullet"/>
      </w:pPr>
      <w:r>
        <w:t>Inappropriate overrides</w:t>
      </w:r>
    </w:p>
    <w:p>
      <w:pPr>
        <w:pStyle w:val="ListBullet"/>
      </w:pPr>
      <w:r>
        <w:t>Workflow failures</w:t>
      </w:r>
    </w:p>
    <w:p>
      <w:pPr>
        <w:pStyle w:val="ListBullet"/>
      </w:pPr>
      <w:r>
        <w:t>Intervention latency</w:t>
      </w:r>
    </w:p>
    <w:p>
      <w:pPr>
        <w:pStyle w:val="ListBullet"/>
      </w:pPr>
      <w:r>
        <w:t>Residual error or risk after intervention</w:t>
      </w:r>
    </w:p>
    <w:p>
      <w:pPr>
        <w:pStyle w:val="Heading1"/>
      </w:pPr>
      <w:r>
        <w:t>10. Candidate Methodological Contribution: Time to Assurance Failure</w:t>
      </w:r>
    </w:p>
    <w:p>
      <w:r>
        <w:t>A candidate metric is Time to Assurance Failure (TAF), defined as the elapsed time between the emergence of a clinically meaningful deviation from the validated operating envelope and its detection by the governance system.</w:t>
      </w:r>
    </w:p>
    <w:p>
      <w:r>
        <w:t>The empirical comparison would examine whether CCA produces shorter detection times than conventional monitoring while maintaining acceptable false-alarm rates.</w:t>
      </w:r>
    </w:p>
    <w:p>
      <w:pPr>
        <w:jc w:val="center"/>
      </w:pPr>
      <w:r>
        <w:rPr>
          <w:b/>
        </w:rPr>
        <w:t>TAF₍CCA₎  versus  TAF₍conventional₎</w:t>
      </w:r>
    </w:p>
    <w:p>
      <w:pPr>
        <w:pStyle w:val="Heading1"/>
      </w:pPr>
      <w:r>
        <w:t>11. Candidate Methodological Contribution: Effective Human Oversight</w:t>
      </w:r>
    </w:p>
    <w:p>
      <w:r>
        <w:t>Human oversight can be operationalized rather than treated as a binary design attribute.</w:t>
      </w:r>
    </w:p>
    <w:p>
      <w:r>
        <w:t>A candidate Effective Human Oversight Rate (EHOR) is:</w:t>
      </w:r>
    </w:p>
    <w:p>
      <w:pPr>
        <w:jc w:val="center"/>
      </w:pPr>
      <w:r>
        <w:rPr>
          <w:b/>
        </w:rPr>
        <w:t>EHOR = appropriately detected/intercepted AI errors ÷ AI errors requiring human detection</w:t>
      </w:r>
    </w:p>
    <w:p>
      <w:r>
        <w:t>This construct can be extended with sensitivity, specificity, intervention latency, inappropriate intervention, and workload measures. The definition and denominator should be refined during protocol development to avoid ambiguity and ascertainment bias.</w:t>
      </w:r>
    </w:p>
    <w:p>
      <w:pPr>
        <w:pStyle w:val="Heading1"/>
      </w:pPr>
      <w:r>
        <w:t>12. Extension to Generative and Agentic AI</w:t>
      </w:r>
    </w:p>
    <w:p>
      <w:r>
        <w:t>The framework should remain technology-agnostic while becoming more granular as system autonomy increases.</w:t>
      </w:r>
    </w:p>
    <w:p>
      <w:pPr>
        <w:pStyle w:val="ListBullet"/>
      </w:pPr>
      <w:r>
        <w:t>Predictive AI: input → prediction → human review. Governance emphasizes performance, uncertainty, and human oversight.</w:t>
      </w:r>
    </w:p>
    <w:p>
      <w:pPr>
        <w:pStyle w:val="ListBullet"/>
      </w:pPr>
      <w:r>
        <w:t>Generative AI: input → retrieval/generation → human review. Governance additionally emphasizes grounding, source attribution, hallucination monitoring, and generation uncertainty.</w:t>
      </w:r>
    </w:p>
    <w:p>
      <w:pPr>
        <w:pStyle w:val="ListBullet"/>
      </w:pPr>
      <w:r>
        <w:t>Agentic AI: input → reasoning → planning → tool use → action → observation → adaptation. Governance additionally requires action authorization, trajectory monitoring, intervention capability, and explicit autonomy boundaries.</w:t>
      </w:r>
    </w:p>
    <w:p>
      <w:r>
        <w:t>This progression allows CCA to remain applicable across technology generations rather than becoming tied to a particular model architecture.</w:t>
      </w:r>
    </w:p>
    <w:p>
      <w:pPr>
        <w:pStyle w:val="Heading1"/>
      </w:pPr>
      <w:r>
        <w:t>13. Expected Scientific Contributions</w:t>
      </w:r>
    </w:p>
    <w:p>
      <w:pPr>
        <w:pStyle w:val="ListBullet"/>
      </w:pPr>
      <w:r>
        <w:t>Define Continuous Clinical Assurance as a measurable, lifecycle-oriented approach to healthcare AI governance.</w:t>
      </w:r>
    </w:p>
    <w:p>
      <w:pPr>
        <w:pStyle w:val="ListBullet"/>
      </w:pPr>
      <w:r>
        <w:t>Provide a multidimensional measurement framework connecting governance principles to observable operational indicators.</w:t>
      </w:r>
    </w:p>
    <w:p>
      <w:pPr>
        <w:pStyle w:val="ListBullet"/>
      </w:pPr>
      <w:r>
        <w:t>Develop and evaluate methods for detecting post-deployment AI risk, including time-to-detection measures.</w:t>
      </w:r>
    </w:p>
    <w:p>
      <w:pPr>
        <w:pStyle w:val="ListBullet"/>
      </w:pPr>
      <w:r>
        <w:t>Establish a risk-adaptive governance model that links detected deviations to predefined interventions.</w:t>
      </w:r>
    </w:p>
    <w:p>
      <w:pPr>
        <w:pStyle w:val="Heading1"/>
      </w:pPr>
      <w:r>
        <w:t>14. Proposed Manuscript Structure</w:t>
      </w:r>
    </w:p>
    <w:p>
      <w:pPr>
        <w:pStyle w:val="ListNumber"/>
      </w:pPr>
      <w:r>
        <w:t>Introduction — motivation, post-deployment gap, research questions, and contributions.</w:t>
      </w:r>
    </w:p>
    <w:p>
      <w:pPr>
        <w:pStyle w:val="ListNumber"/>
      </w:pPr>
      <w:r>
        <w:t>Background — healthcare AI governance, lifecycle management, clinical AI monitoring, calibration, uncertainty, human oversight, and agentic AI.</w:t>
      </w:r>
    </w:p>
    <w:p>
      <w:pPr>
        <w:pStyle w:val="ListNumber"/>
      </w:pPr>
      <w:r>
        <w:t>Conceptual Framework — Continuous Clinical Assurance.</w:t>
      </w:r>
    </w:p>
    <w:p>
      <w:pPr>
        <w:pStyle w:val="ListNumber"/>
      </w:pPr>
      <w:r>
        <w:t>Measurement Framework — assurance domains, indicators, operating envelopes, and governance controls.</w:t>
      </w:r>
    </w:p>
    <w:p>
      <w:pPr>
        <w:pStyle w:val="ListNumber"/>
      </w:pPr>
      <w:r>
        <w:t>Study Design — datasets, perturbations, monitoring methods, thresholds, interventions, and statistical analysis.</w:t>
      </w:r>
    </w:p>
    <w:p>
      <w:pPr>
        <w:pStyle w:val="ListNumber"/>
      </w:pPr>
      <w:r>
        <w:t>Results — detection performance, time to detection, calibration, human oversight, and operational risk.</w:t>
      </w:r>
    </w:p>
    <w:p>
      <w:pPr>
        <w:pStyle w:val="ListNumber"/>
      </w:pPr>
      <w:r>
        <w:t>Discussion — implications for clinical practice, healthcare organizations, regulatory science, and agentic AI.</w:t>
      </w:r>
    </w:p>
    <w:p>
      <w:pPr>
        <w:pStyle w:val="ListNumber"/>
      </w:pPr>
      <w:r>
        <w:t>Limitations — retrospective versus prospective evidence, simulated drift, generalizability, and clinical-outcome availability.</w:t>
      </w:r>
    </w:p>
    <w:p>
      <w:pPr>
        <w:pStyle w:val="ListNumber"/>
      </w:pPr>
      <w:r>
        <w:t>Conclusion — transition from static governance to continuous clinical assurance.</w:t>
      </w:r>
    </w:p>
    <w:p>
      <w:pPr>
        <w:pStyle w:val="Heading1"/>
      </w:pPr>
      <w:r>
        <w:t>15. Target Journals</w:t>
      </w:r>
    </w:p>
    <w:p>
      <w:r>
        <w:t>Potential target journals should be matched to the final empirical depth and methodological emphasis.</w:t>
      </w:r>
    </w:p>
    <w:p>
      <w:pPr>
        <w:pStyle w:val="ListBullet"/>
      </w:pPr>
      <w:r>
        <w:t>npj Digital Medicine — if the study provides substantial empirical validation and clinically meaningful evidence.</w:t>
      </w:r>
    </w:p>
    <w:p>
      <w:pPr>
        <w:pStyle w:val="ListBullet"/>
      </w:pPr>
      <w:r>
        <w:t>Journal of the American Medical Informatics Association (JAMIA) — if the emphasis is clinical informatics, governance, workflow, and implementation.</w:t>
      </w:r>
    </w:p>
    <w:p>
      <w:pPr>
        <w:pStyle w:val="ListBullet"/>
      </w:pPr>
      <w:r>
        <w:t>The Lancet Digital Health — potentially appropriate if strong prospective or clinically consequential evidence becomes available.</w:t>
      </w:r>
    </w:p>
    <w:p>
      <w:pPr>
        <w:pStyle w:val="ListBullet"/>
      </w:pPr>
      <w:r>
        <w:t>Journal of Biomedical Informatics — particularly suitable if the measurement and methodological framework is the principal contribution.</w:t>
      </w:r>
    </w:p>
    <w:p>
      <w:pPr>
        <w:pStyle w:val="ListBullet"/>
      </w:pPr>
      <w:r>
        <w:t>Artificial Intelligence in Medicine — suitable for a methodological AI/clinical application contribution.</w:t>
      </w:r>
    </w:p>
    <w:p>
      <w:pPr>
        <w:pStyle w:val="ListBullet"/>
      </w:pPr>
      <w:r>
        <w:t>BMJ Health &amp; Care Informatics — suitable for implementation and governance-oriented work.</w:t>
      </w:r>
    </w:p>
    <w:p>
      <w:pPr>
        <w:pStyle w:val="Heading1"/>
      </w:pPr>
      <w:r>
        <w:t>16. Research Program and Follow-on Studies</w:t>
      </w:r>
    </w:p>
    <w:p>
      <w:r>
        <w:t>The proposed study can serve as the foundational paper for a coherent research program:</w:t>
      </w:r>
    </w:p>
    <w:p>
      <w:pPr>
        <w:pStyle w:val="ListBullet"/>
      </w:pPr>
      <w:r>
        <w:t>Continuous Clinical Assurance — conceptual and measurement framework.</w:t>
      </w:r>
    </w:p>
    <w:p>
      <w:pPr>
        <w:pStyle w:val="ListBullet"/>
      </w:pPr>
      <w:r>
        <w:t>Calibration as a Governance Signal — empirical evaluation of calibration drift as an early-warning signal.</w:t>
      </w:r>
    </w:p>
    <w:p>
      <w:pPr>
        <w:pStyle w:val="ListBullet"/>
      </w:pPr>
      <w:r>
        <w:t>Effective Human Oversight — quantitative measurement of human detection and intervention.</w:t>
      </w:r>
    </w:p>
    <w:p>
      <w:pPr>
        <w:pStyle w:val="ListBullet"/>
      </w:pPr>
      <w:r>
        <w:t>Deployment Robustness and Temporal Governance Drift — longitudinal evaluation of post-deployment stability.</w:t>
      </w:r>
    </w:p>
    <w:p>
      <w:pPr>
        <w:pStyle w:val="ListBullet"/>
      </w:pPr>
      <w:r>
        <w:t>Continuous Governance of Agentic Clinical AI — extension of the framework to autonomous and multi-agent systems.</w:t>
      </w:r>
    </w:p>
    <w:p>
      <w:pPr>
        <w:pStyle w:val="Heading1"/>
      </w:pPr>
      <w:r>
        <w:t>17. Immediate Next Step</w:t>
      </w:r>
    </w:p>
    <w:p>
      <w:r>
        <w:t>The next research-development milestone should be the Clinical AI Assurance Evidence and Measurement Matrix. For each governance principle, the matrix should specify the associated clinical risk, measurable indicator, data source, threshold or operating boundary, detection method, intervention, and evidence required to evaluate intervention effectiveness.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Governance principle</w:t>
            </w:r>
          </w:p>
        </w:tc>
        <w:tc>
          <w:tcPr>
            <w:tcW w:type="dxa" w:w="1987"/>
          </w:tcPr>
          <w:p>
            <w:r>
              <w:rPr>
                <w:b/>
              </w:rPr>
              <w:t>Clinical risk</w:t>
            </w:r>
          </w:p>
        </w:tc>
        <w:tc>
          <w:tcPr>
            <w:tcW w:type="dxa" w:w="1987"/>
          </w:tcPr>
          <w:p>
            <w:r>
              <w:rPr>
                <w:b/>
              </w:rPr>
              <w:t>Indicator</w:t>
            </w:r>
          </w:p>
        </w:tc>
        <w:tc>
          <w:tcPr>
            <w:tcW w:type="dxa" w:w="1987"/>
          </w:tcPr>
          <w:p>
            <w:r>
              <w:rPr>
                <w:b/>
              </w:rPr>
              <w:t>Detection / monitoring</w:t>
            </w:r>
          </w:p>
        </w:tc>
        <w:tc>
          <w:tcPr>
            <w:tcW w:type="dxa" w:w="1987"/>
          </w:tcPr>
          <w:p>
            <w:r>
              <w:rPr>
                <w:b/>
              </w:rPr>
              <w:t>Potential intervention</w:t>
            </w:r>
          </w:p>
        </w:tc>
      </w:tr>
      <w:tr>
        <w:tc>
          <w:tcPr>
            <w:tcW w:type="dxa" w:w="1987"/>
            <w:vAlign w:val="center"/>
          </w:tcPr>
          <w:p>
            <w:r>
              <w:t>Reliability</w:t>
            </w:r>
          </w:p>
        </w:tc>
        <w:tc>
          <w:tcPr>
            <w:tcW w:type="dxa" w:w="1987"/>
            <w:vAlign w:val="center"/>
          </w:tcPr>
          <w:p>
            <w:r>
              <w:t>Performance degradation</w:t>
            </w:r>
          </w:p>
        </w:tc>
        <w:tc>
          <w:tcPr>
            <w:tcW w:type="dxa" w:w="1987"/>
            <w:vAlign w:val="center"/>
          </w:tcPr>
          <w:p>
            <w:r>
              <w:t>AUROC, sensitivity, specificity</w:t>
            </w:r>
          </w:p>
        </w:tc>
        <w:tc>
          <w:tcPr>
            <w:tcW w:type="dxa" w:w="1987"/>
            <w:vAlign w:val="center"/>
          </w:tcPr>
          <w:p>
            <w:r>
              <w:t>Sequential performance monitoring</w:t>
            </w:r>
          </w:p>
        </w:tc>
        <w:tc>
          <w:tcPr>
            <w:tcW w:type="dxa" w:w="1987"/>
            <w:vAlign w:val="center"/>
          </w:tcPr>
          <w:p>
            <w:r>
              <w:t>Revalidation / recalibration</w:t>
            </w:r>
          </w:p>
        </w:tc>
      </w:tr>
      <w:tr>
        <w:tc>
          <w:tcPr>
            <w:tcW w:type="dxa" w:w="1987"/>
            <w:vAlign w:val="center"/>
          </w:tcPr>
          <w:p>
            <w:r>
              <w:t>Uncertainty</w:t>
            </w:r>
          </w:p>
        </w:tc>
        <w:tc>
          <w:tcPr>
            <w:tcW w:type="dxa" w:w="1987"/>
            <w:vAlign w:val="center"/>
          </w:tcPr>
          <w:p>
            <w:r>
              <w:t>Overconfidence</w:t>
            </w:r>
          </w:p>
        </w:tc>
        <w:tc>
          <w:tcPr>
            <w:tcW w:type="dxa" w:w="1987"/>
            <w:vAlign w:val="center"/>
          </w:tcPr>
          <w:p>
            <w:r>
              <w:t>Calibration error, Brier score, confidence distribution</w:t>
            </w:r>
          </w:p>
        </w:tc>
        <w:tc>
          <w:tcPr>
            <w:tcW w:type="dxa" w:w="1987"/>
            <w:vAlign w:val="center"/>
          </w:tcPr>
          <w:p>
            <w:r>
              <w:t>Calibration monitoring</w:t>
            </w:r>
          </w:p>
        </w:tc>
        <w:tc>
          <w:tcPr>
            <w:tcW w:type="dxa" w:w="1987"/>
            <w:vAlign w:val="center"/>
          </w:tcPr>
          <w:p>
            <w:r>
              <w:t>Increase human review / abstention</w:t>
            </w:r>
          </w:p>
        </w:tc>
      </w:tr>
      <w:tr>
        <w:tc>
          <w:tcPr>
            <w:tcW w:type="dxa" w:w="1987"/>
            <w:vAlign w:val="center"/>
          </w:tcPr>
          <w:p>
            <w:r>
              <w:t>Human oversight</w:t>
            </w:r>
          </w:p>
        </w:tc>
        <w:tc>
          <w:tcPr>
            <w:tcW w:type="dxa" w:w="1987"/>
            <w:vAlign w:val="center"/>
          </w:tcPr>
          <w:p>
            <w:r>
              <w:t>Missed AI errors</w:t>
            </w:r>
          </w:p>
        </w:tc>
        <w:tc>
          <w:tcPr>
            <w:tcW w:type="dxa" w:w="1987"/>
            <w:vAlign w:val="center"/>
          </w:tcPr>
          <w:p>
            <w:r>
              <w:t>Effective oversight rate, intervention latency</w:t>
            </w:r>
          </w:p>
        </w:tc>
        <w:tc>
          <w:tcPr>
            <w:tcW w:type="dxa" w:w="1987"/>
            <w:vAlign w:val="center"/>
          </w:tcPr>
          <w:p>
            <w:r>
              <w:t>Error-interception analysis</w:t>
            </w:r>
          </w:p>
        </w:tc>
        <w:tc>
          <w:tcPr>
            <w:tcW w:type="dxa" w:w="1987"/>
            <w:vAlign w:val="center"/>
          </w:tcPr>
          <w:p>
            <w:r>
              <w:t>Workflow intervention / supervision</w:t>
            </w:r>
          </w:p>
        </w:tc>
      </w:tr>
      <w:tr>
        <w:tc>
          <w:tcPr>
            <w:tcW w:type="dxa" w:w="1987"/>
            <w:vAlign w:val="center"/>
          </w:tcPr>
          <w:p>
            <w:r>
              <w:t>Safety</w:t>
            </w:r>
          </w:p>
        </w:tc>
        <w:tc>
          <w:tcPr>
            <w:tcW w:type="dxa" w:w="1987"/>
            <w:vAlign w:val="center"/>
          </w:tcPr>
          <w:p>
            <w:r>
              <w:t>Clinical harm or near misses</w:t>
            </w:r>
          </w:p>
        </w:tc>
        <w:tc>
          <w:tcPr>
            <w:tcW w:type="dxa" w:w="1987"/>
            <w:vAlign w:val="center"/>
          </w:tcPr>
          <w:p>
            <w:r>
              <w:t>Near-miss / sentinel-event indicators</w:t>
            </w:r>
          </w:p>
        </w:tc>
        <w:tc>
          <w:tcPr>
            <w:tcW w:type="dxa" w:w="1987"/>
            <w:vAlign w:val="center"/>
          </w:tcPr>
          <w:p>
            <w:r>
              <w:t>Safety-event monitoring</w:t>
            </w:r>
          </w:p>
        </w:tc>
        <w:tc>
          <w:tcPr>
            <w:tcW w:type="dxa" w:w="1987"/>
            <w:vAlign w:val="center"/>
          </w:tcPr>
          <w:p>
            <w:r>
              <w:t>Escalation / restriction / suspension</w:t>
            </w:r>
          </w:p>
        </w:tc>
      </w:tr>
      <w:tr>
        <w:tc>
          <w:tcPr>
            <w:tcW w:type="dxa" w:w="1987"/>
            <w:vAlign w:val="center"/>
          </w:tcPr>
          <w:p>
            <w:r>
              <w:t>Robustness</w:t>
            </w:r>
          </w:p>
        </w:tc>
        <w:tc>
          <w:tcPr>
            <w:tcW w:type="dxa" w:w="1987"/>
            <w:vAlign w:val="center"/>
          </w:tcPr>
          <w:p>
            <w:r>
              <w:t>Distribution shift</w:t>
            </w:r>
          </w:p>
        </w:tc>
        <w:tc>
          <w:tcPr>
            <w:tcW w:type="dxa" w:w="1987"/>
            <w:vAlign w:val="center"/>
          </w:tcPr>
          <w:p>
            <w:r>
              <w:t>Population and input drift</w:t>
            </w:r>
          </w:p>
        </w:tc>
        <w:tc>
          <w:tcPr>
            <w:tcW w:type="dxa" w:w="1987"/>
            <w:vAlign w:val="center"/>
          </w:tcPr>
          <w:p>
            <w:r>
              <w:t>Drift detection</w:t>
            </w:r>
          </w:p>
        </w:tc>
        <w:tc>
          <w:tcPr>
            <w:tcW w:type="dxa" w:w="1987"/>
            <w:vAlign w:val="center"/>
          </w:tcPr>
          <w:p>
            <w:r>
              <w:t>Restricted use / revalidation</w:t>
            </w:r>
          </w:p>
        </w:tc>
      </w:tr>
      <w:tr>
        <w:tc>
          <w:tcPr>
            <w:tcW w:type="dxa" w:w="1987"/>
            <w:vAlign w:val="center"/>
          </w:tcPr>
          <w:p>
            <w:r>
              <w:t>Transparency</w:t>
            </w:r>
          </w:p>
        </w:tc>
        <w:tc>
          <w:tcPr>
            <w:tcW w:type="dxa" w:w="1987"/>
            <w:vAlign w:val="center"/>
          </w:tcPr>
          <w:p>
            <w:r>
              <w:t>Unsupported output</w:t>
            </w:r>
          </w:p>
        </w:tc>
        <w:tc>
          <w:tcPr>
            <w:tcW w:type="dxa" w:w="1987"/>
            <w:vAlign w:val="center"/>
          </w:tcPr>
          <w:p>
            <w:r>
              <w:t>Source attribution / evidence support</w:t>
            </w:r>
          </w:p>
        </w:tc>
        <w:tc>
          <w:tcPr>
            <w:tcW w:type="dxa" w:w="1987"/>
            <w:vAlign w:val="center"/>
          </w:tcPr>
          <w:p>
            <w:r>
              <w:t>Evidence audit</w:t>
            </w:r>
          </w:p>
        </w:tc>
        <w:tc>
          <w:tcPr>
            <w:tcW w:type="dxa" w:w="1987"/>
            <w:vAlign w:val="center"/>
          </w:tcPr>
          <w:p>
            <w:r>
              <w:t>Human verification / retrieval correction</w:t>
            </w:r>
          </w:p>
        </w:tc>
      </w:tr>
      <w:tr>
        <w:tc>
          <w:tcPr>
            <w:tcW w:type="dxa" w:w="1987"/>
            <w:vAlign w:val="center"/>
          </w:tcPr>
          <w:p>
            <w:r>
              <w:t>Lifecycle control</w:t>
            </w:r>
          </w:p>
        </w:tc>
        <w:tc>
          <w:tcPr>
            <w:tcW w:type="dxa" w:w="1987"/>
            <w:vAlign w:val="center"/>
          </w:tcPr>
          <w:p>
            <w:r>
              <w:t>Unsafe update</w:t>
            </w:r>
          </w:p>
        </w:tc>
        <w:tc>
          <w:tcPr>
            <w:tcW w:type="dxa" w:w="1987"/>
            <w:vAlign w:val="center"/>
          </w:tcPr>
          <w:p>
            <w:r>
              <w:t>Version-change impact</w:t>
            </w:r>
          </w:p>
        </w:tc>
        <w:tc>
          <w:tcPr>
            <w:tcW w:type="dxa" w:w="1987"/>
            <w:vAlign w:val="center"/>
          </w:tcPr>
          <w:p>
            <w:r>
              <w:t>Change monitoring</w:t>
            </w:r>
          </w:p>
        </w:tc>
        <w:tc>
          <w:tcPr>
            <w:tcW w:type="dxa" w:w="1987"/>
            <w:vAlign w:val="center"/>
          </w:tcPr>
          <w:p>
            <w:r>
              <w:t>Rollback / controlled release</w:t>
            </w:r>
          </w:p>
        </w:tc>
      </w:tr>
    </w:tbl>
    <w:p>
      <w:pPr>
        <w:pStyle w:val="Heading1"/>
      </w:pPr>
      <w:r>
        <w:t>18. Overall Research Positioning</w:t>
      </w:r>
    </w:p>
    <w:p>
      <w:r>
        <w:t>The proposed research positions AI governance as an evidence-generating clinical assurance function rather than solely as a compliance activity. Its central contribution is to connect governance principles with measurable evidence, longitudinal monitoring, risk detection, human oversight, and adaptive intervention.</w:t>
      </w:r>
    </w:p>
    <w:p>
      <w:r>
        <w:t>The resulting research trajectory is: AI Governance → Continuous Clinical Assurance → Risk-Adaptive AI → Agentic AI Governance. This positioning provides a coherent foundation for a sustained research program spanning trustworthy clinical AI, uncertainty calibration, human oversight, deployment robustness, and increasingly autonomous healthcare AI.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