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8D85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DSK传销项目跑路</w:t>
      </w:r>
    </w:p>
    <w:p w14:paraId="591CAA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背景：23年BSC链项目方DSK跑路致参与者无法提币</w:t>
      </w:r>
    </w:p>
    <w:p w14:paraId="55D011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链上合约：0x9bB2D1A26a8aa85028575D70727d7e23bb1F8d9D</w:t>
      </w:r>
    </w:p>
    <w:p w14:paraId="39BB69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该项目以上述合约作为入金通道接收参与者USDT充值。</w:t>
      </w:r>
    </w:p>
    <w:p w14:paraId="3E92B4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通过阅读该合约的源码，发现该合约主要功能是：</w:t>
      </w:r>
    </w:p>
    <w:p w14:paraId="545F6B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用户调用deopsit() 存入 USDT，然后合约自动调用PancakeSwap Router 将 USDT兑换为BUSD，再将兑换得到的BUSD 转账给指定地址 rec（默认是合约部署者）。</w:t>
      </w:r>
    </w:p>
    <w:p w14:paraId="1FE2F383">
      <w:pPr>
        <w:bidi w:val="0"/>
        <w:rPr>
          <w:rFonts w:hint="default"/>
          <w:lang w:val="en-US" w:eastAsia="zh-CN"/>
        </w:rPr>
      </w:pPr>
      <w: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-17780</wp:posOffset>
            </wp:positionH>
            <wp:positionV relativeFrom="paragraph">
              <wp:posOffset>251460</wp:posOffset>
            </wp:positionV>
            <wp:extent cx="5269865" cy="1043940"/>
            <wp:effectExtent l="0" t="0" r="3175" b="762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3564D9">
      <w:pPr>
        <w:bidi w:val="0"/>
        <w:rPr>
          <w:rFonts w:hint="default"/>
          <w:lang w:val="en-US" w:eastAsia="zh-CN"/>
        </w:rPr>
      </w:pPr>
    </w:p>
    <w:p w14:paraId="6D7CDEED">
      <w:pPr>
        <w:bidi w:val="0"/>
        <w:rPr>
          <w:rFonts w:hint="default"/>
          <w:lang w:val="en-US" w:eastAsia="zh-CN"/>
        </w:rPr>
      </w:pPr>
    </w:p>
    <w:p w14:paraId="2B178959">
      <w:pPr>
        <w:bidi w:val="0"/>
        <w:rPr>
          <w:rFonts w:hint="default"/>
          <w:lang w:val="en-US" w:eastAsia="zh-CN"/>
        </w:rPr>
      </w:pPr>
    </w:p>
    <w:p w14:paraId="09FB31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直接定义常量地址（币安链上USDT、BUSD、PancakeSwap Router）</w:t>
      </w:r>
    </w:p>
    <w:p w14:paraId="3B708917">
      <w:pPr>
        <w:bidi w:val="0"/>
        <w:rPr>
          <w:rFonts w:hint="default"/>
          <w:lang w:val="en-US" w:eastAsia="zh-CN"/>
        </w:rPr>
      </w:pPr>
      <w: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-40640</wp:posOffset>
            </wp:positionH>
            <wp:positionV relativeFrom="paragraph">
              <wp:posOffset>137160</wp:posOffset>
            </wp:positionV>
            <wp:extent cx="5266690" cy="1399540"/>
            <wp:effectExtent l="0" t="0" r="6350" b="254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1CBFD3">
      <w:pPr>
        <w:bidi w:val="0"/>
        <w:rPr>
          <w:rFonts w:hint="default"/>
          <w:lang w:val="en-US" w:eastAsia="zh-CN"/>
        </w:rPr>
      </w:pPr>
    </w:p>
    <w:p w14:paraId="1C0297B2">
      <w:pPr>
        <w:bidi w:val="0"/>
        <w:rPr>
          <w:rFonts w:hint="default"/>
          <w:lang w:val="en-US" w:eastAsia="zh-CN"/>
        </w:rPr>
      </w:pPr>
    </w:p>
    <w:p w14:paraId="6114F75A">
      <w:pPr>
        <w:bidi w:val="0"/>
        <w:rPr>
          <w:rFonts w:hint="default"/>
          <w:lang w:val="en-US" w:eastAsia="zh-CN"/>
        </w:rPr>
      </w:pPr>
    </w:p>
    <w:p w14:paraId="27898EB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address public rec;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// 接收兑换后BUSD的地址</w:t>
      </w:r>
    </w:p>
    <w:p w14:paraId="251316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uint256 public percent=90; // 最低兑换比例(即兑换滑点)</w:t>
      </w:r>
    </w:p>
    <w:p w14:paraId="079F2A6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Receord[] public historyReceords; // 存储所有存款记录</w:t>
      </w:r>
    </w:p>
    <w:p w14:paraId="78EE4B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mapping(address =&gt; uint256[]) indexs; // 记录每个用户对应的索引</w:t>
      </w:r>
    </w:p>
    <w:p w14:paraId="3D28C88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核心函数：deopsit</w:t>
      </w:r>
    </w:p>
    <w:p w14:paraId="28488B75">
      <w:pPr>
        <w:bidi w:val="0"/>
        <w:rPr>
          <w:rFonts w:hint="default"/>
          <w:lang w:val="en-US" w:eastAsia="zh-CN"/>
        </w:rPr>
      </w:pPr>
      <w:r>
        <w:drawing>
          <wp:anchor distT="0" distB="0" distL="114935" distR="114935" simplePos="0" relativeHeight="251661312" behindDoc="0" locked="0" layoutInCell="1" allowOverlap="1">
            <wp:simplePos x="0" y="0"/>
            <wp:positionH relativeFrom="column">
              <wp:posOffset>111760</wp:posOffset>
            </wp:positionH>
            <wp:positionV relativeFrom="paragraph">
              <wp:posOffset>22860</wp:posOffset>
            </wp:positionV>
            <wp:extent cx="5273675" cy="2015490"/>
            <wp:effectExtent l="0" t="0" r="14605" b="1143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1FC4F8">
      <w:pPr>
        <w:bidi w:val="0"/>
        <w:rPr>
          <w:rFonts w:hint="default"/>
          <w:lang w:val="en-US" w:eastAsia="zh-CN"/>
        </w:rPr>
      </w:pPr>
    </w:p>
    <w:p w14:paraId="55E3A144">
      <w:pPr>
        <w:bidi w:val="0"/>
        <w:rPr>
          <w:rFonts w:hint="default"/>
          <w:lang w:val="en-US" w:eastAsia="zh-CN"/>
        </w:rPr>
      </w:pPr>
    </w:p>
    <w:p w14:paraId="7723A662">
      <w:pPr>
        <w:bidi w:val="0"/>
        <w:rPr>
          <w:rFonts w:hint="default"/>
          <w:lang w:val="en-US" w:eastAsia="zh-CN"/>
        </w:rPr>
      </w:pPr>
    </w:p>
    <w:p w14:paraId="56E1EC37">
      <w:pPr>
        <w:bidi w:val="0"/>
        <w:rPr>
          <w:rFonts w:hint="default"/>
          <w:lang w:val="en-US" w:eastAsia="zh-CN"/>
        </w:rPr>
      </w:pPr>
    </w:p>
    <w:p w14:paraId="6B39569D">
      <w:pPr>
        <w:bidi w:val="0"/>
        <w:rPr>
          <w:rFonts w:hint="default"/>
          <w:lang w:val="en-US" w:eastAsia="zh-CN"/>
        </w:rPr>
      </w:pPr>
    </w:p>
    <w:p w14:paraId="1ED131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historyReceords.push(Receord({depositer: msg.sender, amount: value}));</w:t>
      </w:r>
    </w:p>
    <w:p w14:paraId="2390F2A7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indexs[msg.sender].push(counter);</w:t>
      </w:r>
      <w:r>
        <w:rPr>
          <w:rFonts w:hint="eastAsia"/>
          <w:lang w:val="en-US" w:eastAsia="zh-CN"/>
        </w:rPr>
        <w:t xml:space="preserve"> 记录存款历史</w:t>
      </w:r>
    </w:p>
    <w:p w14:paraId="22B4460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address ;</w:t>
      </w:r>
    </w:p>
    <w:p w14:paraId="704894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path[0] = address(USDT);</w:t>
      </w:r>
    </w:p>
    <w:p w14:paraId="1944C155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path[1] = address(BUSD);</w:t>
      </w:r>
      <w:r>
        <w:rPr>
          <w:rFonts w:hint="eastAsia"/>
          <w:lang w:val="en-US" w:eastAsia="zh-CN"/>
        </w:rPr>
        <w:t xml:space="preserve"> 设置兑换路径：USDT → BUSD</w:t>
      </w:r>
    </w:p>
    <w:p w14:paraId="1763B5E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USDT.transferFrom(msg.sender, address(this), value);要求用户事先 approve 授权给这个合约。</w:t>
      </w:r>
    </w:p>
    <w:p w14:paraId="59DE82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ROUTER.swapExactTokensForTokens(</w:t>
      </w:r>
    </w:p>
    <w:p w14:paraId="25B1023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value,</w:t>
      </w:r>
    </w:p>
    <w:p w14:paraId="4A3E3D8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(value * percent) / 100,</w:t>
      </w:r>
    </w:p>
    <w:p w14:paraId="03E766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path,</w:t>
      </w:r>
    </w:p>
    <w:p w14:paraId="4EFBEC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rec,</w:t>
      </w:r>
    </w:p>
    <w:p w14:paraId="0C8FB4B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block.timestamp</w:t>
      </w:r>
    </w:p>
    <w:p w14:paraId="363134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5F3F30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amountIn = value → 用户的全部 USDT。</w:t>
      </w:r>
    </w:p>
    <w:p w14:paraId="38D899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amountOutMin = value * 0.9 → 允许最大10%的滑点（如果percent=90）。</w:t>
      </w:r>
    </w:p>
    <w:p w14:paraId="1C630BE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= rec → 兑换后的 BUSD 直接发给 rec 地址（不是用户，也不是合约自己）。</w:t>
      </w:r>
    </w:p>
    <w:p w14:paraId="7F2000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deadline = 当前区块时间。</w:t>
      </w:r>
    </w:p>
    <w:p w14:paraId="3FB834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也就是说，兑换后得到的BUSD全部直接发送到合约</w:t>
      </w:r>
      <w:r>
        <w:rPr>
          <w:rFonts w:hint="eastAsia"/>
          <w:lang w:val="en-US" w:eastAsia="zh-CN"/>
        </w:rPr>
        <w:t>拥有者</w:t>
      </w:r>
      <w:r>
        <w:rPr>
          <w:rFonts w:hint="default"/>
          <w:lang w:val="en-US" w:eastAsia="zh-CN"/>
        </w:rPr>
        <w:t>的钱包，用户无法取回。</w:t>
      </w:r>
    </w:p>
    <w:p w14:paraId="2DFA0866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setReceiver(address _rec)</w:t>
      </w:r>
      <w:r>
        <w:rPr>
          <w:rFonts w:hint="eastAsia"/>
          <w:lang w:val="en-US" w:eastAsia="zh-CN"/>
        </w:rPr>
        <w:t>：修改兑换接收人</w:t>
      </w:r>
    </w:p>
    <w:p w14:paraId="1A8D1E9D">
      <w:pPr>
        <w:bidi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换句话说，项目方在接收到用户入金的USDT后，通过合约在pancake swap上将USDT兑换成BUSD并打入到自己的钱包内。</w:t>
      </w:r>
    </w:p>
    <w:p w14:paraId="1FA63955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我们来分析该合约的资金去向，通过资金去向验证合约代码逻辑是否一致。</w:t>
      </w:r>
    </w:p>
    <w:p w14:paraId="15CBF01C">
      <w:pPr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点开入金合约的bep20Transfers</w:t>
      </w:r>
    </w:p>
    <w:p w14:paraId="1D17A616">
      <w:pPr>
        <w:bidi w:val="0"/>
        <w:rPr>
          <w:rFonts w:hint="default"/>
          <w:color w:val="auto"/>
          <w:lang w:val="en-US" w:eastAsia="zh-CN"/>
        </w:rPr>
      </w:pPr>
      <w: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119380</wp:posOffset>
            </wp:positionH>
            <wp:positionV relativeFrom="paragraph">
              <wp:posOffset>30480</wp:posOffset>
            </wp:positionV>
            <wp:extent cx="5273040" cy="166116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550C3E">
      <w:pPr>
        <w:bidi w:val="0"/>
        <w:rPr>
          <w:rFonts w:hint="default"/>
          <w:color w:val="auto"/>
          <w:lang w:val="en-US" w:eastAsia="zh-CN"/>
        </w:rPr>
      </w:pPr>
    </w:p>
    <w:p w14:paraId="1019B042">
      <w:pPr>
        <w:bidi w:val="0"/>
        <w:rPr>
          <w:rFonts w:hint="default"/>
          <w:color w:val="auto"/>
          <w:lang w:val="en-US" w:eastAsia="zh-CN"/>
        </w:rPr>
      </w:pPr>
    </w:p>
    <w:p w14:paraId="0E21241A">
      <w:pPr>
        <w:bidi w:val="0"/>
        <w:rPr>
          <w:rFonts w:hint="default"/>
          <w:color w:val="auto"/>
          <w:lang w:val="en-US" w:eastAsia="zh-CN"/>
        </w:rPr>
      </w:pPr>
    </w:p>
    <w:p w14:paraId="7AADC78B">
      <w:pPr>
        <w:bidi w:val="0"/>
        <w:rPr>
          <w:rFonts w:hint="default"/>
          <w:color w:val="auto"/>
          <w:lang w:val="en-US" w:eastAsia="zh-CN"/>
        </w:rPr>
      </w:pPr>
    </w:p>
    <w:p w14:paraId="2EAF0064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合约在接收用户USDT后将资金转移给pancakeswap，继续通过阅读入金合约。</w:t>
      </w:r>
    </w:p>
    <w:p w14:paraId="223CFB6A">
      <w:pPr>
        <w:bidi w:val="0"/>
        <w:rPr>
          <w:rFonts w:hint="eastAsia"/>
          <w:color w:val="auto"/>
          <w:lang w:val="en-US" w:eastAsia="zh-CN"/>
        </w:rPr>
      </w:pPr>
    </w:p>
    <w:p w14:paraId="67B87FBB">
      <w:pPr>
        <w:bidi w:val="0"/>
        <w:rPr>
          <w:rFonts w:hint="default"/>
          <w:color w:val="auto"/>
          <w:lang w:val="en-US" w:eastAsia="zh-CN"/>
        </w:rPr>
      </w:pPr>
      <w: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27940</wp:posOffset>
            </wp:positionH>
            <wp:positionV relativeFrom="paragraph">
              <wp:posOffset>137160</wp:posOffset>
            </wp:positionV>
            <wp:extent cx="5263515" cy="2306320"/>
            <wp:effectExtent l="0" t="0" r="9525" b="1016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B74D4F">
      <w:pPr>
        <w:bidi w:val="0"/>
        <w:rPr>
          <w:rFonts w:hint="default"/>
          <w:color w:val="auto"/>
          <w:lang w:val="en-US" w:eastAsia="zh-CN"/>
        </w:rPr>
      </w:pPr>
    </w:p>
    <w:p w14:paraId="2CA615D1">
      <w:pPr>
        <w:bidi w:val="0"/>
        <w:rPr>
          <w:rFonts w:hint="default"/>
          <w:color w:val="auto"/>
          <w:lang w:val="en-US" w:eastAsia="zh-CN"/>
        </w:rPr>
      </w:pPr>
    </w:p>
    <w:p w14:paraId="07A9D2B1">
      <w:pPr>
        <w:bidi w:val="0"/>
        <w:rPr>
          <w:rFonts w:hint="default"/>
          <w:color w:val="auto"/>
          <w:lang w:val="en-US" w:eastAsia="zh-CN"/>
        </w:rPr>
      </w:pPr>
    </w:p>
    <w:p w14:paraId="688B1068">
      <w:pPr>
        <w:bidi w:val="0"/>
        <w:rPr>
          <w:rFonts w:hint="default"/>
          <w:color w:val="auto"/>
          <w:lang w:val="en-US" w:eastAsia="zh-CN"/>
        </w:rPr>
      </w:pPr>
    </w:p>
    <w:p w14:paraId="4351512B">
      <w:pPr>
        <w:bidi w:val="0"/>
        <w:rPr>
          <w:rFonts w:hint="default"/>
          <w:color w:val="auto"/>
          <w:lang w:val="en-US" w:eastAsia="zh-CN"/>
        </w:rPr>
      </w:pPr>
    </w:p>
    <w:p w14:paraId="2F15AB52">
      <w:pPr>
        <w:bidi w:val="0"/>
        <w:rPr>
          <w:rFonts w:hint="default"/>
          <w:color w:val="auto"/>
          <w:lang w:val="en-US" w:eastAsia="zh-CN"/>
        </w:rPr>
      </w:pPr>
    </w:p>
    <w:p w14:paraId="29652A39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Rec ：0xD4F83Ef82c34831FE2dC5912A83Aa449bbD6dC06 </w:t>
      </w:r>
    </w:p>
    <w:p w14:paraId="1D192F56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Owner:0x5Afa7Dd7A90566769Ac15D8677Aef38D3eb253C8 </w:t>
      </w:r>
    </w:p>
    <w:p w14:paraId="4BD7C87C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提取出两个关联地址，分析地址REC资金，如下所示：</w:t>
      </w:r>
    </w:p>
    <w:p w14:paraId="48771871">
      <w:pPr>
        <w:bidi w:val="0"/>
        <w:rPr>
          <w:rFonts w:hint="eastAsia"/>
          <w:color w:val="auto"/>
          <w:lang w:val="en-US" w:eastAsia="zh-CN"/>
        </w:rPr>
      </w:pPr>
      <w: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27940</wp:posOffset>
            </wp:positionH>
            <wp:positionV relativeFrom="paragraph">
              <wp:posOffset>167640</wp:posOffset>
            </wp:positionV>
            <wp:extent cx="5269230" cy="1848485"/>
            <wp:effectExtent l="0" t="0" r="3810" b="107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389660">
      <w:pPr>
        <w:bidi w:val="0"/>
        <w:rPr>
          <w:rFonts w:hint="default"/>
          <w:color w:val="auto"/>
          <w:lang w:val="en-US" w:eastAsia="zh-CN"/>
        </w:rPr>
      </w:pPr>
    </w:p>
    <w:p w14:paraId="13868E29">
      <w:pPr>
        <w:bidi w:val="0"/>
        <w:rPr>
          <w:rFonts w:hint="default"/>
          <w:color w:val="auto"/>
          <w:lang w:val="en-US" w:eastAsia="zh-CN"/>
        </w:rPr>
      </w:pPr>
    </w:p>
    <w:p w14:paraId="08122167">
      <w:pPr>
        <w:bidi w:val="0"/>
        <w:rPr>
          <w:rFonts w:hint="default"/>
          <w:color w:val="auto"/>
          <w:lang w:val="en-US" w:eastAsia="zh-CN"/>
        </w:rPr>
      </w:pPr>
    </w:p>
    <w:p w14:paraId="537A2D40">
      <w:pPr>
        <w:bidi w:val="0"/>
        <w:rPr>
          <w:rFonts w:hint="default"/>
          <w:color w:val="auto"/>
          <w:lang w:val="en-US" w:eastAsia="zh-CN"/>
        </w:rPr>
      </w:pPr>
    </w:p>
    <w:p w14:paraId="2B64AF20">
      <w:pPr>
        <w:bidi w:val="0"/>
        <w:rPr>
          <w:rFonts w:hint="default"/>
          <w:color w:val="auto"/>
          <w:lang w:val="en-US" w:eastAsia="zh-CN"/>
        </w:rPr>
      </w:pPr>
    </w:p>
    <w:p w14:paraId="68943B96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可以看到Rec地址接收的资金大部分来自pancakeswap的BUSD，以上种种资金情况表明了与入金合约功能一致，即入金合约先将用户的USDT兑换成BUSD后，在转入自己指定的钱包地址内。</w:t>
      </w:r>
    </w:p>
    <w:p w14:paraId="621992C7">
      <w:pPr>
        <w:bidi w:val="0"/>
        <w:rPr>
          <w:rFonts w:hint="eastAsia"/>
          <w:color w:val="auto"/>
          <w:lang w:val="en-US" w:eastAsia="zh-CN"/>
        </w:rPr>
      </w:pPr>
    </w:p>
    <w:p w14:paraId="61318BE3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通过对rec地址进行聚类分析，找出了项目方其他的钱包地址，这些地址均为接收BUSD的地址，地址列表如下：</w:t>
      </w:r>
    </w:p>
    <w:p w14:paraId="1B3DC29F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1、0xd4f83ef82c34831fe2dc5912a83aa449bbd6dc06</w:t>
      </w:r>
    </w:p>
    <w:p w14:paraId="5A9A50BD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2、0x4e29e550608d05a1205f01b688b56cd79510dd06</w:t>
      </w:r>
    </w:p>
    <w:p w14:paraId="399C5885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3、0xee0b4b51cfd67397b1149589a275e52558d0c469</w:t>
      </w:r>
    </w:p>
    <w:p w14:paraId="6E733878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4、0x87888d6bbf657765d34b81e801e6100b17d84655</w:t>
      </w:r>
    </w:p>
    <w:p w14:paraId="7D6C306B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5、0xA8598d689254c6e81B53be70094794f4FD538Ed9</w:t>
      </w:r>
    </w:p>
    <w:p w14:paraId="346CCA99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6、0x05dcd5c7c594782bd4b2f60be296dac2a752f8b8</w:t>
      </w:r>
    </w:p>
    <w:p w14:paraId="0C079BAF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7、0xc1cdc86f0f54e400b75932ac45a67277f394a47c</w:t>
      </w:r>
    </w:p>
    <w:p w14:paraId="004716C5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8、0xda563e601b8844ed3ec1fb5fe3684fe17b639c5c</w:t>
      </w:r>
    </w:p>
    <w:p w14:paraId="18261975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项目方通过上述钱包将资金进行初步转移，后续这些资金大部分流向0x3c4ca0b9f6bd65da2f4689215a22bb48bb79508c中，该地址将BUSD继续兑换为USDT，将部分USDT以返利形式返回给用户。</w:t>
      </w:r>
    </w:p>
    <w:p w14:paraId="74352F2A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后续该地址将部分资金通过transitswap跨链桥将资金跨链至波长链（tron）中，如下所示：</w:t>
      </w:r>
    </w:p>
    <w:p w14:paraId="27908C8F">
      <w:pPr>
        <w:bidi w:val="0"/>
        <w:rPr>
          <w:rFonts w:hint="default"/>
          <w:color w:val="auto"/>
          <w:lang w:val="en-US" w:eastAsia="zh-CN"/>
        </w:rPr>
      </w:pPr>
      <w:r>
        <w:drawing>
          <wp:anchor distT="0" distB="0" distL="114935" distR="114935" simplePos="0" relativeHeight="251665408" behindDoc="0" locked="0" layoutInCell="1" allowOverlap="1">
            <wp:simplePos x="0" y="0"/>
            <wp:positionH relativeFrom="column">
              <wp:posOffset>81280</wp:posOffset>
            </wp:positionH>
            <wp:positionV relativeFrom="paragraph">
              <wp:posOffset>114300</wp:posOffset>
            </wp:positionV>
            <wp:extent cx="5262245" cy="755650"/>
            <wp:effectExtent l="0" t="0" r="10795" b="63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1093F0">
      <w:pPr>
        <w:bidi w:val="0"/>
        <w:rPr>
          <w:rFonts w:hint="default"/>
          <w:color w:val="auto"/>
          <w:lang w:val="en-US" w:eastAsia="zh-CN"/>
        </w:rPr>
      </w:pPr>
    </w:p>
    <w:p w14:paraId="359D8DA5">
      <w:pPr>
        <w:bidi w:val="0"/>
        <w:rPr>
          <w:rFonts w:hint="default"/>
          <w:color w:val="auto"/>
          <w:lang w:val="en-US" w:eastAsia="zh-CN"/>
        </w:rPr>
      </w:pPr>
      <w: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96520</wp:posOffset>
            </wp:positionH>
            <wp:positionV relativeFrom="paragraph">
              <wp:posOffset>266700</wp:posOffset>
            </wp:positionV>
            <wp:extent cx="5273040" cy="1511935"/>
            <wp:effectExtent l="0" t="0" r="0" b="1206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F69BCF">
      <w:pPr>
        <w:bidi w:val="0"/>
        <w:rPr>
          <w:rFonts w:hint="default"/>
          <w:color w:val="auto"/>
          <w:lang w:val="en-US" w:eastAsia="zh-CN"/>
        </w:rPr>
      </w:pPr>
    </w:p>
    <w:p w14:paraId="0363B586">
      <w:pPr>
        <w:bidi w:val="0"/>
        <w:rPr>
          <w:rFonts w:hint="default"/>
          <w:color w:val="auto"/>
          <w:lang w:val="en-US" w:eastAsia="zh-CN"/>
        </w:rPr>
      </w:pPr>
    </w:p>
    <w:p w14:paraId="0CA589F0">
      <w:pPr>
        <w:bidi w:val="0"/>
        <w:rPr>
          <w:rFonts w:hint="default"/>
          <w:color w:val="auto"/>
          <w:lang w:val="en-US" w:eastAsia="zh-CN"/>
        </w:rPr>
      </w:pPr>
    </w:p>
    <w:p w14:paraId="12F7A19D">
      <w:pPr>
        <w:bidi w:val="0"/>
        <w:rPr>
          <w:rFonts w:hint="default"/>
          <w:color w:val="auto"/>
          <w:lang w:val="en-US" w:eastAsia="zh-CN"/>
        </w:rPr>
      </w:pPr>
    </w:p>
    <w:p w14:paraId="01708B9D">
      <w:pPr>
        <w:bidi w:val="0"/>
        <w:rPr>
          <w:rFonts w:hint="eastAsia"/>
          <w:color w:val="auto"/>
          <w:lang w:val="en-US" w:eastAsia="zh-CN"/>
        </w:rPr>
      </w:pPr>
    </w:p>
    <w:p w14:paraId="7CE92090">
      <w:pPr>
        <w:bidi w:val="0"/>
        <w:rPr>
          <w:rFonts w:hint="eastAsia"/>
          <w:color w:val="auto"/>
          <w:lang w:val="en-US" w:eastAsia="zh-CN"/>
        </w:rPr>
      </w:pPr>
    </w:p>
    <w:p w14:paraId="0565263E">
      <w:pPr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通过交易哈希可看到资金流入了波场地址TT6HCZWq2EKfyrd6RuCbh1Uoe44tdyppma中。后续波场地址资金流入到交易所，在此不过多赘述。</w:t>
      </w:r>
    </w:p>
    <w:p w14:paraId="7AC89C65">
      <w:pPr>
        <w:bidi w:val="0"/>
        <w:rPr>
          <w:rFonts w:hint="eastAsia"/>
          <w:color w:val="auto"/>
          <w:lang w:val="en-US" w:eastAsia="zh-CN"/>
        </w:rPr>
      </w:pPr>
    </w:p>
    <w:p w14:paraId="1A6A02F3">
      <w:pPr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总结：该项目方通过构建自己的内盘币和高额返利（动态收益，静态收益）吸引大量用户参与后，该项目方跑路，将资金通过跨链方式转移至波场链。</w:t>
      </w:r>
      <w:bookmarkStart w:id="0" w:name="_GoBack"/>
      <w:bookmarkEnd w:id="0"/>
    </w:p>
    <w:p w14:paraId="55F3F492">
      <w:pPr>
        <w:bidi w:val="0"/>
        <w:rPr>
          <w:rFonts w:hint="default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everMind-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FF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85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2025-11-13T03:34:12Z</dcterms:created>
  <dc:creator>zhoujiayu</dc:creator>
  <cp:lastModifiedBy>Don＇t talk about me</cp:lastModifiedBy>
  <dcterms:modified xsi:type="dcterms:W3CDTF">2025-11-13T05:02:04Z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7DFD435166524680979AD424CFBF8629_12</vt:lpwstr>
  </property>
</Properties>
</file>