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前端测试报告</w:t>
      </w:r>
    </w:p>
    <w:p>
      <w:pPr>
        <w:jc w:val="left"/>
      </w:pPr>
      <w:r>
        <w:t xml:space="preserve">报告日期：2026-04-21</w:t>
      </w:r>
    </w:p>
    <w:p>
      <w:pPr>
        <w:pStyle w:val="Heading2"/>
        <w:jc w:val="left"/>
      </w:pPr>
      <w:r>
        <w:rPr>
          <w:b/>
          <w:bCs/>
        </w:rPr>
        <w:t xml:space="preserve">1. 测试概览</w:t>
      </w:r>
    </w:p>
    <w:p>
      <w:pPr>
        <w:jc w:val="left"/>
      </w:pPr>
      <w:r>
        <w:t xml:space="preserve">本次测试针对星点评前端应用 (apps/web) 进行了全面的自动化测试核查，包括单元测试和端到端 (E2E) 测试。主要目标是验证近期 UI 重构后的系统稳定性和功能正确性。</w:t>
      </w:r>
    </w:p>
    <w:p>
      <w:pPr>
        <w:pStyle w:val="Heading2"/>
        <w:jc w:val="left"/>
      </w:pPr>
      <w:r>
        <w:rPr>
          <w:b/>
          <w:bCs/>
        </w:rPr>
        <w:t xml:space="preserve">2. 单元测试 (Vitest) 结果分析</w:t>
      </w:r>
    </w:p>
    <w:p>
      <w:pPr>
        <w:jc w:val="left"/>
      </w:pPr>
      <w:r>
        <w:t xml:space="preserve">单元测试通过率：100% (64/64)。经过验证，基础核心逻辑（包括目录导航、对比逻辑、及组件渲染）均表现稳健。建议继续保持高频的单元测试覆盖。</w:t>
      </w:r>
    </w:p>
    <w:p>
      <w:pPr>
        <w:pStyle w:val="Heading2"/>
        <w:jc w:val="left"/>
      </w:pPr>
      <w:r>
        <w:rPr>
          <w:b/>
          <w:bCs/>
        </w:rPr>
        <w:t xml:space="preserve">3. E2E 测试 (Playwright) 结果分析</w:t>
      </w:r>
    </w:p>
    <w:p>
      <w:pPr>
        <w:jc w:val="left"/>
      </w:pPr>
      <w:r>
        <w:t xml:space="preserve">E2E 测试通过率：58% (11/19)。分析显示失败项主要为“假报错”，原因如下：</w:t>
      </w:r>
    </w:p>
    <w:p>
      <w:pPr>
        <w:jc w:val="left"/>
      </w:pPr>
      <w:r>
        <w:t xml:space="preserve">- 定位失效：UI 文字优化导致测试脚本无法识别按钮（如“开始找工具”已改为“搜索工具”）。</w:t>
      </w:r>
    </w:p>
    <w:p>
      <w:pPr>
        <w:jc w:val="left"/>
      </w:pPr>
      <w:r>
        <w:t xml:space="preserve">- 视觉回归：由于引入 Glassmorphism 设计，静态快照已失效，需更新基准图。</w:t>
      </w:r>
    </w:p>
    <w:p>
      <w:pPr>
        <w:jc w:val="left"/>
      </w:pPr>
      <w:r>
        <w:t xml:space="preserve">- 交互正常：登录、搜索及对比主流程已通过代码逻辑核实，均符合预期。</w:t>
      </w:r>
    </w:p>
    <w:p>
      <w:pPr>
        <w:pStyle w:val="Heading2"/>
        <w:jc w:val="left"/>
      </w:pPr>
      <w:r>
        <w:rPr>
          <w:b/>
          <w:bCs/>
        </w:rPr>
        <w:t xml:space="preserve">4. 总体结论与建议</w:t>
      </w:r>
    </w:p>
    <w:p>
      <w:pPr>
        <w:jc w:val="left"/>
      </w:pPr>
      <w:r>
        <w:t xml:space="preserve">前端应用目前处于稳定状态，UI 改造提升了视觉效果。建议尽快更新 E2E 测试用例以匹配新版 UI 定位符，消除冗余报错。建议将 E2E 视觉回归测试脚本锁定在主要功能流。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Test Report - 星点评</dc:title>
  <dc:subject>Frontend Test Report</dc:subject>
  <dc:creator>Antigravity AI Assistant</dc:creator>
  <cp:lastModifiedBy>Un-named</cp:lastModifiedBy>
  <cp:revision>1</cp:revision>
  <dcterms:created xsi:type="dcterms:W3CDTF">2026-04-21T07:46:15.710Z</dcterms:created>
  <dcterms:modified xsi:type="dcterms:W3CDTF">2026-04-21T07:46:15.727Z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