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jc w:val="left"/>
      </w:pPr>
      <w:r>
        <w:rPr>
          <w:rFonts w:ascii="MS Mincho" w:cs="MS Mincho" w:eastAsia="MS Mincho" w:hAnsi="MS Mincho"/>
          <w:b w:val="false"/>
          <w:bCs w:val="false"/>
          <w:color w:val="000000"/>
          <w:sz w:val="12"/>
          <w:szCs w:val="12"/>
        </w:rPr>
        <w:t xml:space="preserve"/>
      </w:r>
    </w:p>
    <w:p>
      <w:pPr>
        <w:spacing w:after="20" w:before="20"/>
        <w:jc w:val="left"/>
      </w:pPr>
      <w:r>
        <w:rPr>
          <w:rFonts w:ascii="MS Mincho" w:cs="MS Mincho" w:eastAsia="MS Mincho" w:hAnsi="MS Mincho"/>
          <w:b w:val="false"/>
          <w:bCs w:val="false"/>
          <w:color w:val="000000"/>
          <w:sz w:val="12"/>
          <w:szCs w:val="12"/>
        </w:rPr>
        <w:t xml:space="preserve"/>
      </w:r>
    </w:p>
    <w:p>
      <w:pPr>
        <w:spacing w:after="20" w:before="20"/>
        <w:jc w:val="left"/>
      </w:pPr>
      <w:r>
        <w:rPr>
          <w:rFonts w:ascii="MS Mincho" w:cs="MS Mincho" w:eastAsia="MS Mincho" w:hAnsi="MS Mincho"/>
          <w:b w:val="false"/>
          <w:bCs w:val="false"/>
          <w:color w:val="000000"/>
          <w:sz w:val="12"/>
          <w:szCs w:val="12"/>
        </w:rPr>
        <w:t xml:space="preserve"/>
      </w:r>
    </w:p>
    <w:p>
      <w:pPr>
        <w:spacing w:after="20" w:before="20"/>
        <w:jc w:val="left"/>
      </w:pPr>
      <w:r>
        <w:rPr>
          <w:rFonts w:ascii="MS Mincho" w:cs="MS Mincho" w:eastAsia="MS Mincho" w:hAnsi="MS Mincho"/>
          <w:b w:val="false"/>
          <w:bCs w:val="false"/>
          <w:color w:val="000000"/>
          <w:sz w:val="12"/>
          <w:szCs w:val="12"/>
        </w:rPr>
        <w:t xml:space="preserve"/>
      </w:r>
    </w:p>
    <w:p>
      <w:pPr>
        <w:spacing w:after="200" w:before="400"/>
        <w:jc w:val="center"/>
      </w:pPr>
      <w:r>
        <w:rPr>
          <w:rFonts w:ascii="MS Mincho" w:cs="MS Mincho" w:eastAsia="MS Mincho" w:hAnsi="MS Mincho"/>
          <w:b/>
          <w:bCs/>
          <w:color w:val="1F4E79"/>
          <w:sz w:val="36"/>
          <w:szCs w:val="36"/>
        </w:rPr>
        <w:t xml:space="preserve">政府内部システム移行プロジェクト</w:t>
      </w:r>
    </w:p>
    <w:p>
      <w:pPr>
        <w:spacing w:after="300" w:before="60"/>
        <w:jc w:val="center"/>
      </w:pPr>
      <w:r>
        <w:rPr>
          <w:rFonts w:ascii="MS Mincho" w:cs="MS Mincho" w:eastAsia="MS Mincho" w:hAnsi="MS Mincho"/>
          <w:color w:val="2E75B6"/>
          <w:sz w:val="26"/>
          <w:szCs w:val="26"/>
        </w:rPr>
        <w:t xml:space="preserve">林業部門基幹システム</w:t>
      </w:r>
    </w:p>
    <w:p>
      <w:pPr>
        <w:pBdr>
          <w:top w:val="single" w:color="2E75B6" w:sz="6"/>
          <w:bottom w:val="single" w:color="2E75B6" w:sz="6"/>
        </w:pBdr>
        <w:spacing w:after="200" w:before="200"/>
        <w:jc w:val="center"/>
      </w:pPr>
      <w:r>
        <w:rPr>
          <w:rFonts w:ascii="MS Mincho" w:cs="MS Mincho" w:eastAsia="MS Mincho" w:hAnsi="MS Mincho"/>
          <w:b/>
          <w:bCs/>
          <w:color w:val="1F4E79"/>
          <w:sz w:val="38"/>
          <w:szCs w:val="38"/>
        </w:rPr>
        <w:t xml:space="preserve">アプリケーション処理方式設計書</w:t>
      </w:r>
    </w:p>
    <w:p>
      <w:pPr>
        <w:spacing w:after="60" w:before="80"/>
        <w:jc w:val="center"/>
      </w:pPr>
      <w:r>
        <w:rPr>
          <w:rFonts w:ascii="MS Mincho" w:cs="MS Mincho" w:eastAsia="MS Mincho" w:hAnsi="MS Mincho"/>
          <w:b/>
          <w:bCs/>
          <w:color w:val="2E75B6"/>
          <w:sz w:val="28"/>
          <w:szCs w:val="28"/>
        </w:rPr>
        <w:t xml:space="preserve">第6章　ログ出力方式</w:t>
      </w:r>
    </w:p>
    <w:p>
      <w:pPr>
        <w:spacing w:after="20" w:before="20"/>
        <w:jc w:val="left"/>
      </w:pPr>
      <w:r>
        <w:rPr>
          <w:rFonts w:ascii="MS Mincho" w:cs="MS Mincho" w:eastAsia="MS Mincho" w:hAnsi="MS Mincho"/>
          <w:b w:val="false"/>
          <w:bCs w:val="false"/>
          <w:color w:val="000000"/>
          <w:sz w:val="12"/>
          <w:szCs w:val="12"/>
        </w:rPr>
        <w:t xml:space="preserve"/>
      </w:r>
    </w:p>
    <w:p>
      <w:pPr>
        <w:spacing w:after="20" w:before="20"/>
        <w:jc w:val="left"/>
      </w:pPr>
      <w:r>
        <w:rPr>
          <w:rFonts w:ascii="MS Mincho" w:cs="MS Mincho" w:eastAsia="MS Mincho" w:hAnsi="MS Mincho"/>
          <w:b w:val="false"/>
          <w:bCs w:val="false"/>
          <w:color w:val="000000"/>
          <w:sz w:val="12"/>
          <w:szCs w:val="12"/>
        </w:rPr>
        <w:t xml:space="preserve"/>
      </w:r>
    </w:p>
    <w:p>
      <w:pPr>
        <w:spacing w:after="20" w:before="20"/>
        <w:jc w:val="left"/>
      </w:pPr>
      <w:r>
        <w:rPr>
          <w:rFonts w:ascii="MS Mincho" w:cs="MS Mincho" w:eastAsia="MS Mincho" w:hAnsi="MS Mincho"/>
          <w:b w:val="false"/>
          <w:bCs w:val="false"/>
          <w:color w:val="000000"/>
          <w:sz w:val="12"/>
          <w:szCs w:val="1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システム名</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政府内部システム移行プロジェクト（林業部門）</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ドキュメント名</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アプリケーション処理方式設計書（ログ出力方式）</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作成日</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2025/9/1</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更新日</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2025/12/26</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版数</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1.7</w:t>
            </w:r>
          </w:p>
        </w:tc>
      </w:tr>
    </w:tbl>
    <w:p>
      <w:r>
        <w:br w:type="page"/>
      </w:r>
    </w:p>
    <w:p>
      <w:pPr>
        <w:pStyle w:val="Heading1"/>
        <w:pBdr>
          <w:bottom w:val="single" w:color="2E75B6" w:sz="6"/>
        </w:pBdr>
        <w:shd w:fill="BDD7EE" w:val="clear"/>
        <w:spacing w:after="120" w:before="240"/>
      </w:pPr>
      <w:r>
        <w:rPr>
          <w:rFonts w:ascii="MS Mincho" w:cs="MS Mincho" w:eastAsia="MS Mincho" w:hAnsi="MS Mincho"/>
          <w:b/>
          <w:bCs/>
          <w:color w:val="1F4E79"/>
          <w:sz w:val="26"/>
          <w:szCs w:val="26"/>
        </w:rPr>
        <w:t xml:space="preserve">改訂履歴</w:t>
      </w:r>
    </w:p>
    <w:p>
      <w:pPr>
        <w:spacing w:after="20" w:before="20"/>
        <w:jc w:val="left"/>
      </w:pPr>
      <w:r>
        <w:rPr>
          <w:rFonts w:ascii="MS Mincho" w:cs="MS Mincho" w:eastAsia="MS Mincho" w:hAnsi="MS Mincho"/>
          <w:b w:val="false"/>
          <w:bCs w:val="false"/>
          <w:color w:val="000000"/>
          <w:sz w:val="12"/>
          <w:szCs w:val="1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600"/>
        <w:gridCol w:w="6046"/>
      </w:tblGrid>
      <w:tr>
        <w:tc>
          <w:tcPr>
            <w:tcW w:type="dxa" w:w="9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版数</w:t>
            </w:r>
          </w:p>
        </w:tc>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更新日</w:t>
            </w:r>
          </w:p>
        </w:tc>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更新者</w:t>
            </w:r>
          </w:p>
        </w:tc>
        <w:tc>
          <w:tcPr>
            <w:tcW w:type="dxa" w:w="60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変更内容</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2025/9/1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初版作成</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1.1</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クラウド基盤準拠・DB 保管廃止・Serilog + Log Analytics に統一</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1.2</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表6-1 メンテナンス方法列を全行補完</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1.3</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6.6 新設：Log Analytics Workspace 連携設定</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1.4</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全ログを GovSystem_App_CL に一本化・Serilog シンクを File 1本に整理</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1.5</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レビュー指摘対応：6.2「本システムで出力するログ」新設・節番号繰り下げ・表6-1 出力先表現修正</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レビュー指摘対応：表6-1・表6-2 に OCR 処理ログ行を追加</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1.7</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レビュー指摘対応：表6-1・表6-2 にセキュリティログ行・JAFFIC 基盤要件対応ログ行を追加・OCR 処理ログ表記を統一</w:t>
            </w:r>
          </w:p>
        </w:tc>
      </w:tr>
    </w:tbl>
    <w:p>
      <w:r>
        <w:br w:type="page"/>
      </w:r>
    </w:p>
    <w:p>
      <w:pPr>
        <w:pStyle w:val="Heading1"/>
        <w:pBdr>
          <w:bottom w:val="single" w:color="2E75B6" w:sz="6"/>
        </w:pBdr>
        <w:shd w:fill="BDD7EE" w:val="clear"/>
        <w:spacing w:after="120" w:before="240"/>
      </w:pPr>
      <w:r>
        <w:rPr>
          <w:rFonts w:ascii="MS Mincho" w:cs="MS Mincho" w:eastAsia="MS Mincho" w:hAnsi="MS Mincho"/>
          <w:b/>
          <w:bCs/>
          <w:color w:val="1F4E79"/>
          <w:sz w:val="26"/>
          <w:szCs w:val="26"/>
        </w:rPr>
        <w:t xml:space="preserve">第6章　ログ出力方式</w:t>
      </w:r>
    </w:p>
    <w:p>
      <w:pPr>
        <w:spacing w:after="80" w:before="80"/>
        <w:jc w:val="left"/>
      </w:pPr>
      <w:r>
        <w:rPr>
          <w:rFonts w:ascii="MS Mincho" w:cs="MS Mincho" w:eastAsia="MS Mincho" w:hAnsi="MS Mincho"/>
          <w:b w:val="false"/>
          <w:bCs w:val="false"/>
          <w:color w:val="000000"/>
          <w:sz w:val="18"/>
          <w:szCs w:val="18"/>
        </w:rPr>
        <w:t xml:space="preserve">本章では、本システムで出力するログについて整理する。</w:t>
      </w:r>
    </w:p>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6.1. ログ出力の目的</w:t>
      </w:r>
    </w:p>
    <w:p>
      <w:pPr>
        <w:spacing w:after="60" w:before="60"/>
        <w:jc w:val="left"/>
      </w:pPr>
      <w:r>
        <w:rPr>
          <w:rFonts w:ascii="MS Mincho" w:cs="MS Mincho" w:eastAsia="MS Mincho" w:hAnsi="MS Mincho"/>
          <w:b w:val="false"/>
          <w:bCs w:val="false"/>
          <w:color w:val="000000"/>
          <w:sz w:val="18"/>
          <w:szCs w:val="18"/>
        </w:rPr>
        <w:t xml:space="preserve">本システムでは、以下の目的からログの取得を行う。</w:t>
      </w:r>
    </w:p>
    <w:p>
      <w:pPr>
        <w:spacing w:after="20" w:before="20"/>
        <w:jc w:val="left"/>
      </w:pPr>
      <w:r>
        <w:rPr>
          <w:rFonts w:ascii="MS Mincho" w:cs="MS Mincho" w:eastAsia="MS Mincho" w:hAnsi="MS Mincho"/>
          <w:b w:val="false"/>
          <w:bCs w:val="false"/>
          <w:color w:val="000000"/>
          <w:sz w:val="12"/>
          <w:szCs w:val="12"/>
        </w:rPr>
        <w:t xml:space="preserve"/>
      </w:r>
    </w:p>
    <w:p>
      <w:pPr>
        <w:spacing w:after="40" w:before="80"/>
        <w:ind w:left="480"/>
        <w:jc w:val="left"/>
      </w:pPr>
      <w:r>
        <w:rPr>
          <w:rFonts w:ascii="MS Mincho" w:cs="MS Mincho" w:eastAsia="MS Mincho" w:hAnsi="MS Mincho"/>
          <w:b/>
          <w:bCs/>
          <w:color w:val="000000"/>
          <w:sz w:val="18"/>
          <w:szCs w:val="18"/>
        </w:rPr>
        <w:t xml:space="preserve">(1) セキュリティ</w:t>
      </w:r>
    </w:p>
    <w:p>
      <w:pPr>
        <w:spacing w:after="60" w:before="40"/>
        <w:ind w:left="960"/>
        <w:jc w:val="left"/>
      </w:pPr>
      <w:r>
        <w:rPr>
          <w:rFonts w:ascii="MS Mincho" w:cs="MS Mincho" w:eastAsia="MS Mincho" w:hAnsi="MS Mincho"/>
          <w:b w:val="false"/>
          <w:bCs w:val="false"/>
          <w:color w:val="000000"/>
          <w:sz w:val="18"/>
          <w:szCs w:val="18"/>
        </w:rPr>
        <w:t xml:space="preserve">システムの不正アクセス、システム停止、情報漏えい、改竄の追跡を目的として監査用ログを記録し、システムのセキュリティを確保する。</w:t>
      </w:r>
    </w:p>
    <w:p>
      <w:pPr>
        <w:spacing w:after="40" w:before="80"/>
        <w:ind w:left="480"/>
        <w:jc w:val="left"/>
      </w:pPr>
      <w:r>
        <w:rPr>
          <w:rFonts w:ascii="MS Mincho" w:cs="MS Mincho" w:eastAsia="MS Mincho" w:hAnsi="MS Mincho"/>
          <w:b/>
          <w:bCs/>
          <w:color w:val="000000"/>
          <w:sz w:val="18"/>
          <w:szCs w:val="18"/>
        </w:rPr>
        <w:t xml:space="preserve">(2) 障害調査</w:t>
      </w:r>
    </w:p>
    <w:p>
      <w:pPr>
        <w:spacing w:after="60" w:before="40"/>
        <w:ind w:left="960"/>
        <w:jc w:val="left"/>
      </w:pPr>
      <w:r>
        <w:rPr>
          <w:rFonts w:ascii="MS Mincho" w:cs="MS Mincho" w:eastAsia="MS Mincho" w:hAnsi="MS Mincho"/>
          <w:b w:val="false"/>
          <w:bCs w:val="false"/>
          <w:color w:val="000000"/>
          <w:sz w:val="18"/>
          <w:szCs w:val="18"/>
        </w:rPr>
        <w:t xml:space="preserve">システムにエラーが発生した場合、エラーの発生源を特定するためのトレース情報などを障害調査用ログとして記録し、障害解析の材料とする。</w:t>
      </w:r>
    </w:p>
    <w:p>
      <w:pPr>
        <w:spacing w:after="40" w:before="80"/>
        <w:ind w:left="480"/>
        <w:jc w:val="left"/>
      </w:pPr>
      <w:r>
        <w:rPr>
          <w:rFonts w:ascii="MS Mincho" w:cs="MS Mincho" w:eastAsia="MS Mincho" w:hAnsi="MS Mincho"/>
          <w:b/>
          <w:bCs/>
          <w:color w:val="000000"/>
          <w:sz w:val="18"/>
          <w:szCs w:val="18"/>
        </w:rPr>
        <w:t xml:space="preserve">(3) 稼働実績</w:t>
      </w:r>
    </w:p>
    <w:p>
      <w:pPr>
        <w:spacing w:after="60" w:before="40"/>
        <w:ind w:left="960"/>
        <w:jc w:val="left"/>
      </w:pPr>
      <w:r>
        <w:rPr>
          <w:rFonts w:ascii="MS Mincho" w:cs="MS Mincho" w:eastAsia="MS Mincho" w:hAnsi="MS Mincho"/>
          <w:b w:val="false"/>
          <w:bCs w:val="false"/>
          <w:color w:val="000000"/>
          <w:sz w:val="18"/>
          <w:szCs w:val="18"/>
        </w:rPr>
        <w:t xml:space="preserve">システムのアクセス数、アクセス時間などの情報を稼働実績ログとして記録し、サービス利用状況の解析などを行う。</w:t>
      </w:r>
    </w:p>
    <w:p>
      <w:pPr>
        <w:spacing w:after="40" w:before="80"/>
        <w:ind w:left="480"/>
        <w:jc w:val="left"/>
      </w:pPr>
      <w:r>
        <w:rPr>
          <w:rFonts w:ascii="MS Mincho" w:cs="MS Mincho" w:eastAsia="MS Mincho" w:hAnsi="MS Mincho"/>
          <w:b/>
          <w:bCs/>
          <w:color w:val="000000"/>
          <w:sz w:val="18"/>
          <w:szCs w:val="18"/>
        </w:rPr>
        <w:t xml:space="preserve">(4) JAFFIC 基盤要件への対応</w:t>
      </w:r>
    </w:p>
    <w:p>
      <w:pPr>
        <w:spacing w:after="80" w:before="40"/>
        <w:ind w:left="960"/>
        <w:jc w:val="left"/>
      </w:pPr>
      <w:r>
        <w:rPr>
          <w:rFonts w:ascii="MS Mincho" w:cs="MS Mincho" w:eastAsia="MS Mincho" w:hAnsi="MS Mincho"/>
          <w:b w:val="false"/>
          <w:bCs w:val="false"/>
          <w:color w:val="000000"/>
          <w:sz w:val="18"/>
          <w:szCs w:val="18"/>
        </w:rPr>
        <w:t xml:space="preserve">JAFFIC クラウドの運用規程に基づき、情報システム管理者が必要と認めた場合に対応するログを出力する。Azure Monitor・Log Analytics・Microsoft Sentinel との連携を前提とし、ログ収集・分析・セキュリティ監視の一元管理を実現する。</w:t>
      </w:r>
    </w:p>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6.2. 本システムで出力するログ</w:t>
      </w:r>
    </w:p>
    <w:p>
      <w:pPr>
        <w:spacing w:after="60" w:before="60"/>
        <w:jc w:val="left"/>
      </w:pPr>
      <w:r>
        <w:rPr>
          <w:rFonts w:ascii="MS Mincho" w:cs="MS Mincho" w:eastAsia="MS Mincho" w:hAnsi="MS Mincho"/>
          <w:b w:val="false"/>
          <w:bCs w:val="false"/>
          <w:color w:val="000000"/>
          <w:sz w:val="18"/>
          <w:szCs w:val="18"/>
        </w:rPr>
        <w:t xml:space="preserve">本システムで出力するログの種別と出力内容を以下に示す。</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表6-1　本システムで出力するログ一覧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出力ログ</w:t>
            </w:r>
          </w:p>
        </w:tc>
        <w:tc>
          <w:tcPr>
            <w:tcW w:type="dxa" w:w="79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ユーザ認証ログ</w:t>
            </w:r>
          </w:p>
        </w:tc>
        <w:tc>
          <w:tcPr>
            <w:tcW w:type="dxa" w:w="7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Entra ID へのログイン・ログアウト・MFA・トークン発行等の認証イベント</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アプリ処理用ログ</w:t>
            </w:r>
          </w:p>
        </w:tc>
        <w:tc>
          <w:tcPr>
            <w:tcW w:type="dxa" w:w="7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画面操作・ファイル入出力・API リクエスト/レスポンス・DB 接続が出力するログ</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外部連携用ログ</w:t>
            </w:r>
          </w:p>
        </w:tc>
        <w:tc>
          <w:tcPr>
            <w:tcW w:type="dxa" w:w="7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格付判定システム・財務会計システム等の外部 API 通信、ファイル連携ログ</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OCR 処理ログ</w:t>
            </w:r>
          </w:p>
        </w:tc>
        <w:tc>
          <w:tcPr>
            <w:tcW w:type="dxa" w:w="7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AnyForm OCR が出力した CSV ファイルの Blob Storage への転送・取込処理（CSV ファイル転送用バッチログ）が出力するログ</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セキュリティログ</w:t>
            </w:r>
          </w:p>
        </w:tc>
        <w:tc>
          <w:tcPr>
            <w:tcW w:type="dxa" w:w="7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 セキュリティに対応するログ：システムの不正アクセス・システム停止・情報漏えい・改竄の追跡を目的とした監査用ログ</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基盤要件対応ログ</w:t>
            </w:r>
          </w:p>
        </w:tc>
        <w:tc>
          <w:tcPr>
            <w:tcW w:type="dxa" w:w="7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(4) JAFFIC 基盤要件への対応に対応するログ：JAFFIC クラウド運用規程に基づき情報システム管理者が必要と認めた場合に出力するログ</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セキュリティ監査ログ</w:t>
            </w:r>
          </w:p>
        </w:tc>
        <w:tc>
          <w:tcPr>
            <w:tcW w:type="dxa" w:w="7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不正アクセス試行・異常通信・VM セキュリティイベント等（JAFFIC 基盤 Microsoft Sentinel が自動収集）</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アプリ処理用ログ・外部連携用ログ・OCR 処理ログは、全コードが同一 WebApp（IIS Sub-App /api）内で動作するため、単一のログファイルに統合して出力する。</w:t>
      </w:r>
    </w:p>
    <w:p>
      <w:pPr>
        <w:spacing w:after="30" w:before="30"/>
        <w:ind w:left="480"/>
      </w:pPr>
      <w:r>
        <w:rPr>
          <w:rFonts w:ascii="MS Mincho" w:cs="MS Mincho" w:eastAsia="MS Mincho" w:hAnsi="MS Mincho"/>
          <w:color w:val="555555"/>
          <w:sz w:val="16"/>
          <w:szCs w:val="16"/>
        </w:rPr>
        <w:t xml:space="preserve">※ セキュリティ監査ログは JAFFIC 基盤が提供する Microsoft Sentinel が自動収集する。アプリ側の実装は不要。</w:t>
      </w:r>
    </w:p>
    <w:p>
      <w:pPr>
        <w:spacing w:after="30" w:before="30"/>
        <w:ind w:left="480"/>
      </w:pPr>
      <w:r>
        <w:rPr>
          <w:rFonts w:ascii="MS Mincho" w:cs="MS Mincho" w:eastAsia="MS Mincho" w:hAnsi="MS Mincho"/>
          <w:color w:val="555555"/>
          <w:sz w:val="16"/>
          <w:szCs w:val="16"/>
        </w:rPr>
        <w:t xml:space="preserve">※「(1) セキュリティ」および「(4) JAFFIC 基盤要件への対応」に対応するログはセキュリティ監査ログが担う。</w:t>
      </w:r>
    </w:p>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6.3. ログ出力方式</w:t>
      </w:r>
    </w:p>
    <w:p>
      <w:pPr>
        <w:spacing w:after="40" w:before="60"/>
        <w:jc w:val="left"/>
      </w:pPr>
      <w:r>
        <w:rPr>
          <w:rFonts w:ascii="MS Mincho" w:cs="MS Mincho" w:eastAsia="MS Mincho" w:hAnsi="MS Mincho"/>
          <w:b w:val="false"/>
          <w:bCs w:val="false"/>
          <w:color w:val="000000"/>
          <w:sz w:val="18"/>
          <w:szCs w:val="18"/>
        </w:rPr>
        <w:t xml:space="preserve">ログの出力は、出力先・出力箇所・出力内容に応じて出力方式が異なる。本システムのログ設計方針を以下に示す。</w:t>
      </w:r>
    </w:p>
    <w:p>
      <w:pPr>
        <w:spacing w:after="20" w:before="20"/>
        <w:jc w:val="left"/>
      </w:pPr>
      <w:r>
        <w:rPr>
          <w:rFonts w:ascii="MS Mincho" w:cs="MS Mincho" w:eastAsia="MS Mincho" w:hAnsi="MS Mincho"/>
          <w:b w:val="false"/>
          <w:bCs w:val="false"/>
          <w:color w:val="000000"/>
          <w:sz w:val="12"/>
          <w:szCs w:val="1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60"/>
              <w:jc w:val="left"/>
            </w:pPr>
            <w:r>
              <w:rPr>
                <w:rFonts w:ascii="MS Mincho" w:cs="MS Mincho" w:eastAsia="MS Mincho" w:hAnsi="MS Mincho"/>
                <w:b/>
                <w:bCs/>
                <w:color w:val="1F4E79"/>
                <w:sz w:val="18"/>
                <w:szCs w:val="18"/>
              </w:rPr>
              <w:t xml:space="preserve">【ログ設計基本方針】</w:t>
            </w:r>
          </w:p>
          <w:p>
            <w:pPr>
              <w:spacing w:after="40" w:before="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アプリケーションログの実装は Serilog（.NET 10）のみとし、DB へのログ書き込みは行わない。</w:t>
            </w:r>
          </w:p>
          <w:p>
            <w:pPr>
              <w:spacing w:after="40" w:before="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アプリ処理用ログ・外部連携用ログは同一 WebApp 内で動作するため、単一の Serilog File シンクで統合出力する。</w:t>
            </w:r>
          </w:p>
          <w:p>
            <w:pPr>
              <w:spacing w:after="40" w:before="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Serilog はログファイル（Azure VM）へ出力し、Azure Monitor エージェント（AMA）が Log Analytics Workspace へ自動転送する。</w:t>
            </w:r>
          </w:p>
          <w:p>
            <w:pPr>
              <w:spacing w:after="40" w:before="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ユーザ認証ログ（ログイン）は、Entra ID の診断設定により Log Analytics Workspace へ自動収集する。アプリ側の追加実装は不要。</w:t>
            </w:r>
          </w:p>
          <w:p>
            <w:pPr>
              <w:spacing w:after="40" w:before="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セキュリティ監視は JAFFIC 基盤が提供する Microsoft Sentinel が担う。</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表6-2　出力ログ詳細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346"/>
      </w:tblGrid>
      <w:tr>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出力ログ</w:t>
            </w:r>
          </w:p>
        </w:tc>
        <w:tc>
          <w:tcPr>
            <w:tcW w:type="dxa" w:w="2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c>
          <w:tcPr>
            <w:tcW w:type="dxa" w:w="2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出力先</w:t>
            </w:r>
          </w:p>
        </w:tc>
        <w:tc>
          <w:tcPr>
            <w:tcW w:type="dxa" w:w="23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メンテナンス方法</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ユーザ認証ログ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Entra ID へのログイン・トークン発行等の認証イベント</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Workspace（Entra ID 設定により自動収集）</w:t>
            </w:r>
          </w:p>
        </w:tc>
        <w:tc>
          <w:tcPr>
            <w:tcW w:type="dxa" w:w="2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リテンションポリシー設定</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アプリ処理用ログ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画面操作・ファイル入出力・API リクエスト/レスポンス・DB 接続が出力するログ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ファイル（Azure VM）→ AMA → Log Analytics Workspace</w:t>
            </w:r>
          </w:p>
        </w:tc>
        <w:tc>
          <w:tcPr>
            <w:tcW w:type="dxa" w:w="2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設定による自動削除</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外部連携用ログ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格付判定システム・財務会計システム等の外部 API 通信、ファイル連携ログ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ファイル（Azure VM）→ AMA → Log Analytics Workspace</w:t>
            </w:r>
          </w:p>
        </w:tc>
        <w:tc>
          <w:tcPr>
            <w:tcW w:type="dxa" w:w="2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同上</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OCR 処理ログ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AnyForm OCR CSV ファイル転送用バッチログが出力するログ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ファイル（Azure VM）→ AMA → Log Analytics Workspace</w:t>
            </w:r>
          </w:p>
        </w:tc>
        <w:tc>
          <w:tcPr>
            <w:tcW w:type="dxa" w:w="2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設定による自動削除</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セキュリティログ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 セキュリティ対応：不正アクセス・情報漏えい・改竄の追跡を目的とした監査用ログ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ファイル（Azure VM）→ AMA → Log Analytics Workspace</w:t>
            </w:r>
          </w:p>
        </w:tc>
        <w:tc>
          <w:tcPr>
            <w:tcW w:type="dxa" w:w="2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設定による自動削除</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基盤要件対応ログ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(4) JAFFIC 基盤要件対応：JAFFIC クラウド運用規程に基づき情報システム管理者が必要と認めた場合に出力するログ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ファイル（Azure VM）→ AMA → Log Analytics Workspace</w:t>
            </w:r>
          </w:p>
        </w:tc>
        <w:tc>
          <w:tcPr>
            <w:tcW w:type="dxa" w:w="2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設定による自動削除</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セキュリティ監査ログ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不正アクセス試行・異常通信・VM セキュリティイベント等</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Microsoft Sentinel（Log Analytics Workspace 経由）</w:t>
            </w:r>
          </w:p>
        </w:tc>
        <w:tc>
          <w:tcPr>
            <w:tcW w:type="dxa" w:w="2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リテンションポリシー設定</w:t>
            </w:r>
          </w:p>
        </w:tc>
      </w:tr>
    </w:tbl>
    <w:p>
      <w:pPr>
        <w:spacing w:after="20" w:before="20"/>
        <w:jc w:val="left"/>
      </w:pPr>
      <w:r>
        <w:rPr>
          <w:rFonts w:ascii="MS Mincho" w:cs="MS Mincho" w:eastAsia="MS Mincho" w:hAnsi="MS Mincho"/>
          <w:b w:val="false"/>
          <w:bCs w:val="false"/>
          <w:color w:val="000000"/>
          <w:sz w:val="12"/>
          <w:szCs w:val="12"/>
        </w:rPr>
        <w:t xml:space="preserve"/>
      </w:r>
    </w:p>
    <w:p>
      <w:pPr>
        <w:pStyle w:val="Heading3"/>
        <w:spacing w:after="60" w:before="160"/>
        <w:ind w:left="360"/>
      </w:pPr>
      <w:r>
        <w:rPr>
          <w:rFonts w:ascii="MS Mincho" w:cs="MS Mincho" w:eastAsia="MS Mincho" w:hAnsi="MS Mincho"/>
          <w:b/>
          <w:bCs/>
          <w:color w:val="000000"/>
          <w:sz w:val="20"/>
          <w:szCs w:val="20"/>
        </w:rPr>
        <w:t xml:space="preserve">6.3.1. ユーザ認証ログ</w:t>
      </w:r>
    </w:p>
    <w:p>
      <w:pPr>
        <w:spacing w:after="60" w:before="60"/>
        <w:ind w:left="360"/>
        <w:jc w:val="left"/>
      </w:pPr>
      <w:r>
        <w:rPr>
          <w:rFonts w:ascii="MS Mincho" w:cs="MS Mincho" w:eastAsia="MS Mincho" w:hAnsi="MS Mincho"/>
          <w:b w:val="false"/>
          <w:bCs w:val="false"/>
          <w:color w:val="000000"/>
          <w:sz w:val="18"/>
          <w:szCs w:val="18"/>
        </w:rPr>
        <w:t xml:space="preserve">Entra ID が生成する認証イベントを Log Analytics Workspace へ自動収集する。アプリ側に追加実装は不要。</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表6-3　ユーザ認証ログ収集項目</w:t>
      </w:r>
    </w:p>
    <w:tbl>
      <w:tblPr>
        <w:tblW w:type="dxa" w:w="7991"/>
        <w:tblBorders>
          <w:top w:val="single" w:color="auto" w:sz="4"/>
          <w:left w:val="single" w:color="auto" w:sz="4"/>
          <w:bottom w:val="single" w:color="auto" w:sz="4"/>
          <w:right w:val="single" w:color="auto" w:sz="4"/>
          <w:insideH w:val="single" w:color="auto" w:sz="4"/>
          <w:insideV w:val="single" w:color="auto" w:sz="4"/>
        </w:tblBorders>
      </w:tblPr>
      <w:tblGrid>
        <w:gridCol w:w="2200"/>
        <w:gridCol w:w="5792"/>
      </w:tblGrid>
      <w:tr>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項目名</w:t>
            </w:r>
          </w:p>
        </w:tc>
        <w:tc>
          <w:tcPr>
            <w:tcW w:type="dxa" w:w="5792"/>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説明</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アクセス日時</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認証イベントが発生した日時（UTC）</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ユーザ UPN</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アクセスしたユーザの Entra ID UPN</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認証結果</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成功 / 失敗・失敗理由コード</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クライアント IP</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アクセスしたユーザの端末 IP（VPN 経由内部 IP）</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MFA 詳細</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MFA の認証方法・結果</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テナント ID</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共通テナントの Azure AD テナント ID</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収集された認証ログは Log Analytics の SigninLogs テーブルに格納され、KQL で検索可能。</w:t>
      </w:r>
    </w:p>
    <w:p>
      <w:pPr>
        <w:spacing w:after="20" w:before="20"/>
        <w:jc w:val="left"/>
      </w:pPr>
      <w:r>
        <w:rPr>
          <w:rFonts w:ascii="MS Mincho" w:cs="MS Mincho" w:eastAsia="MS Mincho" w:hAnsi="MS Mincho"/>
          <w:b w:val="false"/>
          <w:bCs w:val="false"/>
          <w:color w:val="000000"/>
          <w:sz w:val="12"/>
          <w:szCs w:val="12"/>
        </w:rPr>
        <w:t xml:space="preserve"/>
      </w:r>
    </w:p>
    <w:p>
      <w:pPr>
        <w:pStyle w:val="Heading3"/>
        <w:spacing w:after="60" w:before="160"/>
        <w:ind w:left="360"/>
      </w:pPr>
      <w:r>
        <w:rPr>
          <w:rFonts w:ascii="MS Mincho" w:cs="MS Mincho" w:eastAsia="MS Mincho" w:hAnsi="MS Mincho"/>
          <w:b/>
          <w:bCs/>
          <w:color w:val="000000"/>
          <w:sz w:val="20"/>
          <w:szCs w:val="20"/>
        </w:rPr>
        <w:t xml:space="preserve">6.3.2. アプリ処理用ログ・外部連携用ログ（統合）</w:t>
      </w:r>
    </w:p>
    <w:p>
      <w:pPr>
        <w:spacing w:after="60" w:before="60"/>
        <w:ind w:left="360"/>
        <w:jc w:val="left"/>
      </w:pPr>
      <w:r>
        <w:rPr>
          <w:rFonts w:ascii="MS Mincho" w:cs="MS Mincho" w:eastAsia="MS Mincho" w:hAnsi="MS Mincho"/>
          <w:b w:val="false"/>
          <w:bCs w:val="false"/>
          <w:color w:val="000000"/>
          <w:sz w:val="18"/>
          <w:szCs w:val="18"/>
        </w:rPr>
        <w:t xml:space="preserve">アプリ処理用ログと外部連携用ログは、同一 WebApp（IIS Sub-App /api）内で動作するため Serilog の単一 File シンクで統合出力する。</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表6-4　Log Analytics への転送先（AMA 設定）</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ファイルパターン</w:t>
            </w:r>
          </w:p>
        </w:tc>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Log Analytics カスタムテーブル</w:t>
            </w:r>
          </w:p>
        </w:tc>
        <w:tc>
          <w:tcPr>
            <w:tcW w:type="dxa" w:w="37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r>
      <w:tr>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C:\Logs\app\app-*.log</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GovSystem_App_CL</w:t>
            </w:r>
          </w:p>
        </w:tc>
        <w:tc>
          <w:tcPr>
            <w:tcW w:type="dxa" w:w="37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全ログ統合（アプリ処理用・外部連携用）</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ログ種別の絞り込みは SourceContext（クラス名）を使った KQL クエリで対応する。</w:t>
      </w:r>
    </w:p>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6.4. Serilog 実装方針</w:t>
      </w:r>
    </w:p>
    <w:p>
      <w:pPr>
        <w:spacing w:after="60" w:before="60"/>
        <w:jc w:val="left"/>
      </w:pPr>
      <w:r>
        <w:rPr>
          <w:rFonts w:ascii="MS Mincho" w:cs="MS Mincho" w:eastAsia="MS Mincho" w:hAnsi="MS Mincho"/>
          <w:b w:val="false"/>
          <w:bCs w:val="false"/>
          <w:color w:val="000000"/>
          <w:sz w:val="18"/>
          <w:szCs w:val="18"/>
        </w:rPr>
        <w:t xml:space="preserve">本システムのログ出力は Serilog（Serilog.AspNetCore）を用いて実装する。シンクはファイル出力のみとし、DB へのログ書き込みは行わない。</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表6-5　Serilog シンク構成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3346"/>
      </w:tblGrid>
      <w:tr>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シンク</w:t>
            </w:r>
          </w:p>
        </w:tc>
        <w:tc>
          <w:tcPr>
            <w:tcW w:type="dxa" w:w="2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出力先</w:t>
            </w:r>
          </w:p>
        </w:tc>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対象環境</w:t>
            </w:r>
          </w:p>
        </w:tc>
        <w:tc>
          <w:tcPr>
            <w:tcW w:type="dxa" w:w="33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File（RollingFile）</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C:\Logs\app\app-.log</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全環境</w:t>
            </w:r>
          </w:p>
        </w:tc>
        <w:tc>
          <w:tcPr>
            <w:tcW w:type="dxa" w:w="3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AMA が Log Analytics（GovSystem_App_CL）へ自動転送</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Console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標準出力</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開発環境のみ</w:t>
            </w:r>
          </w:p>
        </w:tc>
        <w:tc>
          <w:tcPr>
            <w:tcW w:type="dxa" w:w="3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Visual Studio / IIS Express デバッグ時の確認用</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Serilog.Sinks.MSSqlServer は使用しない。DB へのログ保管は行わない。</w:t>
      </w:r>
    </w:p>
    <w:p>
      <w:pPr>
        <w:spacing w:after="30" w:before="30"/>
        <w:ind w:left="480"/>
      </w:pPr>
      <w:r>
        <w:rPr>
          <w:rFonts w:ascii="MS Mincho" w:cs="MS Mincho" w:eastAsia="MS Mincho" w:hAnsi="MS Mincho"/>
          <w:color w:val="555555"/>
          <w:sz w:val="16"/>
          <w:szCs w:val="16"/>
        </w:rPr>
        <w:t xml:space="preserve">※ UseSerilogRequestLogging() により全 HTTP リクエスト/レスポンスが Information ログとして自動記録される。</w:t>
      </w:r>
    </w:p>
    <w:p>
      <w:pPr>
        <w:spacing w:after="30" w:before="30"/>
        <w:ind w:left="480"/>
      </w:pPr>
      <w:r>
        <w:rPr>
          <w:rFonts w:ascii="MS Mincho" w:cs="MS Mincho" w:eastAsia="MS Mincho" w:hAnsi="MS Mincho"/>
          <w:color w:val="555555"/>
          <w:sz w:val="16"/>
          <w:szCs w:val="16"/>
        </w:rPr>
        <w:t xml:space="preserve">※ ExceptionHandlerMiddleware が未捕捉例外を自動的に Fatal / Error ログとして出力する。</w:t>
      </w:r>
    </w:p>
    <w:p>
      <w:pPr>
        <w:spacing w:after="20" w:before="20"/>
        <w:jc w:val="left"/>
      </w:pPr>
      <w:r>
        <w:rPr>
          <w:rFonts w:ascii="MS Mincho" w:cs="MS Mincho" w:eastAsia="MS Mincho" w:hAnsi="MS Mincho"/>
          <w:b w:val="false"/>
          <w:bCs w:val="false"/>
          <w:color w:val="000000"/>
          <w:sz w:val="12"/>
          <w:szCs w:val="12"/>
        </w:rPr>
        <w:t xml:space="preserve"/>
      </w:r>
    </w:p>
    <w:p>
      <w:pPr>
        <w:spacing w:after="30" w:before="60"/>
        <w:ind w:left="360"/>
        <w:jc w:val="left"/>
      </w:pPr>
      <w:r>
        <w:rPr>
          <w:rFonts w:ascii="MS Mincho" w:cs="MS Mincho" w:eastAsia="MS Mincho" w:hAnsi="MS Mincho"/>
          <w:b w:val="false"/>
          <w:bCs w:val="false"/>
          <w:color w:val="000000"/>
          <w:sz w:val="18"/>
          <w:szCs w:val="18"/>
        </w:rPr>
        <w:t xml:space="preserve">appsettings.Production.json 設定例（抜粋）：</w:t>
      </w:r>
    </w:p>
    <w:p>
      <w:pPr>
        <w:spacing w:after="16" w:before="16"/>
        <w:ind w:left="600"/>
      </w:pPr>
      <w:r>
        <w:rPr>
          <w:rFonts w:ascii="Courier New" w:cs="Courier New" w:eastAsia="Courier New" w:hAnsi="Courier New"/>
          <w:sz w:val="16"/>
          <w:szCs w:val="16"/>
        </w:rPr>
        <w:t xml:space="preserve">// appsettings.Production.json</w:t>
      </w:r>
    </w:p>
    <w:p>
      <w:pPr>
        <w:spacing w:after="16" w:before="16"/>
        <w:ind w:left="600"/>
      </w:pPr>
      <w:r>
        <w:rPr>
          <w:rFonts w:ascii="Courier New" w:cs="Courier New" w:eastAsia="Courier New" w:hAnsi="Courier New"/>
          <w:sz w:val="16"/>
          <w:szCs w:val="16"/>
        </w:rPr>
        <w:t xml:space="preserve">{</w:t>
      </w:r>
    </w:p>
    <w:p>
      <w:pPr>
        <w:spacing w:after="16" w:before="16"/>
        <w:ind w:left="600"/>
      </w:pPr>
      <w:r>
        <w:rPr>
          <w:rFonts w:ascii="Courier New" w:cs="Courier New" w:eastAsia="Courier New" w:hAnsi="Courier New"/>
          <w:sz w:val="16"/>
          <w:szCs w:val="16"/>
        </w:rPr>
        <w:t xml:space="preserve">  "Serilog": {</w:t>
      </w:r>
    </w:p>
    <w:p>
      <w:pPr>
        <w:spacing w:after="16" w:before="16"/>
        <w:ind w:left="600"/>
      </w:pPr>
      <w:r>
        <w:rPr>
          <w:rFonts w:ascii="Courier New" w:cs="Courier New" w:eastAsia="Courier New" w:hAnsi="Courier New"/>
          <w:sz w:val="16"/>
          <w:szCs w:val="16"/>
        </w:rPr>
        <w:t xml:space="preserve">    "MinimumLevel": {</w:t>
      </w:r>
    </w:p>
    <w:p>
      <w:pPr>
        <w:spacing w:after="16" w:before="16"/>
        <w:ind w:left="600"/>
      </w:pPr>
      <w:r>
        <w:rPr>
          <w:rFonts w:ascii="Courier New" w:cs="Courier New" w:eastAsia="Courier New" w:hAnsi="Courier New"/>
          <w:sz w:val="16"/>
          <w:szCs w:val="16"/>
        </w:rPr>
        <w:t xml:space="preserve">      "Default": "Information",</w:t>
      </w:r>
    </w:p>
    <w:p>
      <w:pPr>
        <w:spacing w:after="16" w:before="16"/>
        <w:ind w:left="600"/>
      </w:pPr>
      <w:r>
        <w:rPr>
          <w:rFonts w:ascii="Courier New" w:cs="Courier New" w:eastAsia="Courier New" w:hAnsi="Courier New"/>
          <w:sz w:val="16"/>
          <w:szCs w:val="16"/>
        </w:rPr>
        <w:t xml:space="preserve">      "Override": { "Microsoft": "Warning", "System": "Warning" }</w:t>
      </w:r>
    </w:p>
    <w:p>
      <w:pPr>
        <w:spacing w:after="16" w:before="16"/>
        <w:ind w:left="600"/>
      </w:pPr>
      <w:r>
        <w:rPr>
          <w:rFonts w:ascii="Courier New" w:cs="Courier New" w:eastAsia="Courier New" w:hAnsi="Courier New"/>
          <w:sz w:val="16"/>
          <w:szCs w:val="16"/>
        </w:rPr>
        <w:t xml:space="preserve">    },</w:t>
      </w:r>
    </w:p>
    <w:p>
      <w:pPr>
        <w:spacing w:after="16" w:before="16"/>
        <w:ind w:left="600"/>
      </w:pPr>
      <w:r>
        <w:rPr>
          <w:rFonts w:ascii="Courier New" w:cs="Courier New" w:eastAsia="Courier New" w:hAnsi="Courier New"/>
          <w:sz w:val="16"/>
          <w:szCs w:val="16"/>
        </w:rPr>
        <w:t xml:space="preserve">    "WriteTo": [</w:t>
      </w:r>
    </w:p>
    <w:p>
      <w:pPr>
        <w:spacing w:after="16" w:before="16"/>
        <w:ind w:left="600"/>
      </w:pPr>
      <w:r>
        <w:rPr>
          <w:rFonts w:ascii="Courier New" w:cs="Courier New" w:eastAsia="Courier New" w:hAnsi="Courier New"/>
          <w:sz w:val="16"/>
          <w:szCs w:val="16"/>
        </w:rPr>
        <w:t xml:space="preserve">      {</w:t>
      </w:r>
    </w:p>
    <w:p>
      <w:pPr>
        <w:spacing w:after="16" w:before="16"/>
        <w:ind w:left="600"/>
      </w:pPr>
      <w:r>
        <w:rPr>
          <w:rFonts w:ascii="Courier New" w:cs="Courier New" w:eastAsia="Courier New" w:hAnsi="Courier New"/>
          <w:sz w:val="16"/>
          <w:szCs w:val="16"/>
        </w:rPr>
        <w:t xml:space="preserve">        "Name": "File",</w:t>
      </w:r>
    </w:p>
    <w:p>
      <w:pPr>
        <w:spacing w:after="16" w:before="16"/>
        <w:ind w:left="600"/>
      </w:pPr>
      <w:r>
        <w:rPr>
          <w:rFonts w:ascii="Courier New" w:cs="Courier New" w:eastAsia="Courier New" w:hAnsi="Courier New"/>
          <w:sz w:val="16"/>
          <w:szCs w:val="16"/>
        </w:rPr>
        <w:t xml:space="preserve">        "Args": {</w:t>
      </w:r>
    </w:p>
    <w:p>
      <w:pPr>
        <w:spacing w:after="16" w:before="16"/>
        <w:ind w:left="600"/>
      </w:pPr>
      <w:r>
        <w:rPr>
          <w:rFonts w:ascii="Courier New" w:cs="Courier New" w:eastAsia="Courier New" w:hAnsi="Courier New"/>
          <w:sz w:val="16"/>
          <w:szCs w:val="16"/>
        </w:rPr>
        <w:t xml:space="preserve">          "path": "C:\\Logs\\app\\app-.log",</w:t>
      </w:r>
    </w:p>
    <w:p>
      <w:pPr>
        <w:spacing w:after="16" w:before="16"/>
        <w:ind w:left="600"/>
      </w:pPr>
      <w:r>
        <w:rPr>
          <w:rFonts w:ascii="Courier New" w:cs="Courier New" w:eastAsia="Courier New" w:hAnsi="Courier New"/>
          <w:sz w:val="16"/>
          <w:szCs w:val="16"/>
        </w:rPr>
        <w:t xml:space="preserve">          "rollingInterval": "Day",</w:t>
      </w:r>
    </w:p>
    <w:p>
      <w:pPr>
        <w:spacing w:after="16" w:before="16"/>
        <w:ind w:left="600"/>
      </w:pPr>
      <w:r>
        <w:rPr>
          <w:rFonts w:ascii="Courier New" w:cs="Courier New" w:eastAsia="Courier New" w:hAnsi="Courier New"/>
          <w:sz w:val="16"/>
          <w:szCs w:val="16"/>
        </w:rPr>
        <w:t xml:space="preserve">          "retainedFileCountLimit": 7,</w:t>
      </w:r>
    </w:p>
    <w:p>
      <w:pPr>
        <w:spacing w:after="16" w:before="16"/>
        <w:ind w:left="600"/>
      </w:pPr>
      <w:r>
        <w:rPr>
          <w:rFonts w:ascii="Courier New" w:cs="Courier New" w:eastAsia="Courier New" w:hAnsi="Courier New"/>
          <w:sz w:val="16"/>
          <w:szCs w:val="16"/>
        </w:rPr>
        <w:t xml:space="preserve">          "fileSizeLimitBytes": 20971520,</w:t>
      </w:r>
    </w:p>
    <w:p>
      <w:pPr>
        <w:spacing w:after="16" w:before="16"/>
        <w:ind w:left="600"/>
      </w:pPr>
      <w:r>
        <w:rPr>
          <w:rFonts w:ascii="Courier New" w:cs="Courier New" w:eastAsia="Courier New" w:hAnsi="Courier New"/>
          <w:sz w:val="16"/>
          <w:szCs w:val="16"/>
        </w:rPr>
        <w:t xml:space="preserve">          "outputTemplate": "{Timestamp} [{Level}] {SourceContext} {Message}{NewLine}{Exception}"</w:t>
      </w:r>
    </w:p>
    <w:p>
      <w:pPr>
        <w:spacing w:after="16" w:before="16"/>
        <w:ind w:left="600"/>
      </w:pPr>
      <w:r>
        <w:rPr>
          <w:rFonts w:ascii="Courier New" w:cs="Courier New" w:eastAsia="Courier New" w:hAnsi="Courier New"/>
          <w:sz w:val="16"/>
          <w:szCs w:val="16"/>
        </w:rPr>
        <w:t xml:space="preserve">        }</w:t>
      </w:r>
    </w:p>
    <w:p>
      <w:pPr>
        <w:spacing w:after="16" w:before="16"/>
        <w:ind w:left="600"/>
      </w:pPr>
      <w:r>
        <w:rPr>
          <w:rFonts w:ascii="Courier New" w:cs="Courier New" w:eastAsia="Courier New" w:hAnsi="Courier New"/>
          <w:sz w:val="16"/>
          <w:szCs w:val="16"/>
        </w:rPr>
        <w:t xml:space="preserve">      }</w:t>
      </w:r>
    </w:p>
    <w:p>
      <w:pPr>
        <w:spacing w:after="16" w:before="16"/>
        <w:ind w:left="600"/>
      </w:pPr>
      <w:r>
        <w:rPr>
          <w:rFonts w:ascii="Courier New" w:cs="Courier New" w:eastAsia="Courier New" w:hAnsi="Courier New"/>
          <w:sz w:val="16"/>
          <w:szCs w:val="16"/>
        </w:rPr>
        <w:t xml:space="preserve">    ]</w:t>
      </w:r>
    </w:p>
    <w:p>
      <w:pPr>
        <w:spacing w:after="16" w:before="16"/>
        <w:ind w:left="600"/>
      </w:pPr>
      <w:r>
        <w:rPr>
          <w:rFonts w:ascii="Courier New" w:cs="Courier New" w:eastAsia="Courier New" w:hAnsi="Courier New"/>
          <w:sz w:val="16"/>
          <w:szCs w:val="16"/>
        </w:rPr>
        <w:t xml:space="preserve">  }</w:t>
      </w:r>
    </w:p>
    <w:p>
      <w:pPr>
        <w:spacing w:after="16" w:before="16"/>
        <w:ind w:left="600"/>
      </w:pPr>
      <w:r>
        <w:rPr>
          <w:rFonts w:ascii="Courier New" w:cs="Courier New" w:eastAsia="Courier New" w:hAnsi="Courier New"/>
          <w:sz w:val="16"/>
          <w:szCs w:val="16"/>
        </w:rPr>
        <w:t xml:space="preserve">}</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表6-6　ログレベルと出力内容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600"/>
        <w:gridCol w:w="1000"/>
        <w:gridCol w:w="946"/>
      </w:tblGrid>
      <w:tr>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ログレベル</w:t>
            </w:r>
          </w:p>
        </w:tc>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メッセージコード先頭</w:t>
            </w:r>
          </w:p>
        </w:tc>
        <w:tc>
          <w:tcPr>
            <w:tcW w:type="dxa" w:w="2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出力条件</w:t>
            </w:r>
          </w:p>
        </w:tc>
        <w:tc>
          <w:tcPr>
            <w:tcW w:type="dxa" w:w="2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c>
          <w:tcPr>
            <w:tcW w:type="dxa" w:w="1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開発時</w:t>
            </w:r>
          </w:p>
        </w:tc>
        <w:tc>
          <w:tcPr>
            <w:tcW w:type="dxa" w:w="9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運用時</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Fatal</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ESYS5xxxx</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処理継続不可のエラー</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未捕捉例外（ExceptionHandlerMiddleware）</w:t>
            </w:r>
          </w:p>
        </w:tc>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Error</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E{SYS}4xxxx</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処理継続可能なエラー</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業務エラー（errList）</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Warning</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W{SYS}3xxxx</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注意を促す動作</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業務警告（wrnList）/ Polly リトライ</w:t>
            </w:r>
          </w:p>
        </w:tc>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Information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I{SYS}2xxxx</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運用に必要な情報</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正常完了・API 呼び出し結果（nrmList）</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Debug</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開発時の詳細情報</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SQL パラメータ・EF Core クエリ内容</w:t>
            </w:r>
          </w:p>
        </w:tc>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appsettings.json の Serilog:MinimumLevel で環境ごとに出力レベルを制御する（本番：Information、開発：Debug）。</w:t>
      </w:r>
    </w:p>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6.5. ログローテーション方式</w:t>
      </w:r>
    </w:p>
    <w:p>
      <w:pPr>
        <w:spacing w:after="40" w:before="60"/>
        <w:jc w:val="left"/>
      </w:pPr>
      <w:r>
        <w:rPr>
          <w:rFonts w:ascii="MS Mincho" w:cs="MS Mincho" w:eastAsia="MS Mincho" w:hAnsi="MS Mincho"/>
          <w:b w:val="false"/>
          <w:bCs w:val="false"/>
          <w:color w:val="000000"/>
          <w:sz w:val="18"/>
          <w:szCs w:val="18"/>
        </w:rPr>
        <w:t xml:space="preserve">Serilog の RollingFileSink により自動制御する。</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表6-7　ログのローテーション規定値</w:t>
      </w:r>
    </w:p>
    <w:tbl>
      <w:tblPr>
        <w:tblW w:type="dxa" w:w="6334"/>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538"/>
      </w:tblGrid>
      <w:tr>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ファイルパス</w:t>
            </w:r>
          </w:p>
        </w:tc>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ファイル種別</w:t>
            </w:r>
          </w:p>
        </w:tc>
        <w:tc>
          <w:tcPr>
            <w:tcW w:type="dxa" w:w="3538"/>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サイズローテーション</w:t>
            </w:r>
          </w:p>
        </w:tc>
      </w:tr>
      <w:tr>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C:\Logs\app\app-*.log</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3538"/>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 MByte</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retainedFileCountLimit: 7 により VM ローカルは 7 日分のみ保持して古いものを自動削除する。</w:t>
      </w:r>
    </w:p>
    <w:p>
      <w:pPr>
        <w:spacing w:after="30" w:before="30"/>
        <w:ind w:left="480"/>
      </w:pPr>
      <w:r>
        <w:rPr>
          <w:rFonts w:ascii="MS Mincho" w:cs="MS Mincho" w:eastAsia="MS Mincho" w:hAnsi="MS Mincho"/>
          <w:color w:val="555555"/>
          <w:sz w:val="16"/>
          <w:szCs w:val="16"/>
        </w:rPr>
        <w:t xml:space="preserve">※ Log Analytics のリテンション期間は本番環境で 90 日に設定する（★TBD 基盤側確認）。</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表6-8　ログ保管場所および保持期間</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2346"/>
      </w:tblGrid>
      <w:tr>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保管期間</w:t>
            </w:r>
          </w:p>
        </w:tc>
        <w:tc>
          <w:tcPr>
            <w:tcW w:type="dxa" w:w="2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保管先</w:t>
            </w:r>
          </w:p>
        </w:tc>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c>
          <w:tcPr>
            <w:tcW w:type="dxa" w:w="23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対象ログ種別</w:t>
            </w:r>
          </w:p>
        </w:tc>
      </w:tr>
      <w:tr>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0〜7 日間</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VM ローカルファイル + Log Analytics</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ローカルは 7 日後に自動削除</w:t>
            </w:r>
          </w:p>
        </w:tc>
        <w:tc>
          <w:tcPr>
            <w:tcW w:type="dxa" w:w="2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全ログ</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7〜90 日間</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本番環境リテンション設定（★TBD）</w:t>
            </w:r>
          </w:p>
        </w:tc>
        <w:tc>
          <w:tcPr>
            <w:tcW w:type="dxa" w:w="2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全ログ</w:t>
            </w:r>
          </w:p>
        </w:tc>
      </w:tr>
      <w:tr>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90 日以上</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アーカイブ層</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低コスト長期保管</w:t>
            </w:r>
          </w:p>
        </w:tc>
        <w:tc>
          <w:tcPr>
            <w:tcW w:type="dxa" w:w="2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認証ログ・監査ログ</w:t>
            </w:r>
          </w:p>
        </w:tc>
      </w:tr>
    </w:tbl>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6.6. Azure 監視サービスとの連携</w:t>
      </w:r>
    </w:p>
    <w:p>
      <w:pPr>
        <w:spacing w:after="60" w:before="60"/>
        <w:jc w:val="left"/>
      </w:pPr>
      <w:r>
        <w:rPr>
          <w:rFonts w:ascii="MS Mincho" w:cs="MS Mincho" w:eastAsia="MS Mincho" w:hAnsi="MS Mincho"/>
          <w:b w:val="false"/>
          <w:bCs w:val="false"/>
          <w:color w:val="000000"/>
          <w:sz w:val="18"/>
          <w:szCs w:val="18"/>
        </w:rPr>
        <w:t xml:space="preserve">JAFFIC 基盤が提供する Azure 監視サービスと連携し、統合的な監視・障害対応体制を構築する。</w:t>
      </w:r>
    </w:p>
    <w:p>
      <w:pPr>
        <w:spacing w:after="20" w:before="20"/>
        <w:jc w:val="left"/>
      </w:pPr>
      <w:r>
        <w:rPr>
          <w:rFonts w:ascii="MS Mincho" w:cs="MS Mincho" w:eastAsia="MS Mincho" w:hAnsi="MS Mincho"/>
          <w:b w:val="false"/>
          <w:bCs w:val="false"/>
          <w:color w:val="000000"/>
          <w:sz w:val="12"/>
          <w:szCs w:val="12"/>
        </w:rPr>
        <w:t xml:space="preserve"/>
      </w:r>
    </w:p>
    <w:p>
      <w:pPr>
        <w:spacing w:after="40" w:before="100"/>
        <w:ind w:left="240"/>
      </w:pPr>
      <w:r>
        <w:rPr>
          <w:rFonts w:ascii="MS Mincho" w:cs="MS Mincho" w:eastAsia="MS Mincho" w:hAnsi="MS Mincho"/>
          <w:b/>
          <w:bCs/>
          <w:color w:val="2E75B6"/>
          <w:sz w:val="17"/>
          <w:szCs w:val="17"/>
        </w:rPr>
        <w:t xml:space="preserve">表6-9　JAFFIC 基盤提供の監視サービス一覧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4946"/>
      </w:tblGrid>
      <w:tr>
        <w:tc>
          <w:tcPr>
            <w:tcW w:type="dxa" w:w="1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分類</w:t>
            </w:r>
          </w:p>
        </w:tc>
        <w:tc>
          <w:tcPr>
            <w:tcW w:type="dxa" w:w="1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機能</w:t>
            </w:r>
          </w:p>
        </w:tc>
        <w:tc>
          <w:tcPr>
            <w:tcW w:type="dxa" w:w="2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サービス</w:t>
            </w:r>
          </w:p>
        </w:tc>
        <w:tc>
          <w:tcPr>
            <w:tcW w:type="dxa" w:w="49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用途</w:t>
            </w:r>
          </w:p>
        </w:tc>
      </w:tr>
      <w:tr>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監視</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Monitor</w:t>
            </w:r>
          </w:p>
        </w:tc>
        <w:tc>
          <w:tcPr>
            <w:tcW w:type="dxa" w:w="4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VM・SQL MI 等のメトリクス監視。異常発生時に検知・通知。</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監視</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Network Watcher</w:t>
            </w:r>
          </w:p>
        </w:tc>
        <w:tc>
          <w:tcPr>
            <w:tcW w:type="dxa" w:w="4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VNet 内のネットワークトラフィック監視。NSG フローログ分析・問題特定。</w:t>
            </w:r>
          </w:p>
        </w:tc>
      </w:tr>
      <w:tr>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ログ管理・解析</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w:t>
            </w:r>
          </w:p>
        </w:tc>
        <w:tc>
          <w:tcPr>
            <w:tcW w:type="dxa" w:w="4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出力ファイルを AMA 経由で収集。Entra ID 認証ログも自動収集。KQL クエリで横断検索・アラート設定。</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ログ管理・解析</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Microsoft Sentinel</w:t>
            </w:r>
          </w:p>
        </w:tc>
        <w:tc>
          <w:tcPr>
            <w:tcW w:type="dxa" w:w="4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と連携した SIEM。不正アクセス・脅威のリアルタイム検知・分析。</w:t>
            </w:r>
          </w:p>
        </w:tc>
      </w:tr>
    </w:tbl>
    <w:p>
      <w:pPr>
        <w:spacing w:after="20" w:before="2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after="80" w:before="200"/>
        <w:ind w:left="160"/>
      </w:pPr>
      <w:r>
        <w:rPr>
          <w:rFonts w:ascii="MS Mincho" w:cs="MS Mincho" w:eastAsia="MS Mincho" w:hAnsi="MS Mincho"/>
          <w:b/>
          <w:bCs/>
          <w:color w:val="2E75B6"/>
          <w:sz w:val="22"/>
          <w:szCs w:val="22"/>
        </w:rPr>
        <w:t xml:space="preserve">6.7. Log Analytics Workspace 連携設定</w:t>
      </w:r>
    </w:p>
    <w:p>
      <w:pPr>
        <w:spacing w:after="60" w:before="60"/>
        <w:jc w:val="left"/>
      </w:pPr>
      <w:r>
        <w:rPr>
          <w:rFonts w:ascii="MS Mincho" w:cs="MS Mincho" w:eastAsia="MS Mincho" w:hAnsi="MS Mincho"/>
          <w:b w:val="false"/>
          <w:bCs w:val="false"/>
          <w:color w:val="000000"/>
          <w:sz w:val="18"/>
          <w:szCs w:val="18"/>
        </w:rPr>
        <w:t xml:space="preserve">アプリケーションログの Log Analytics Workspace への転送は JAFFIC 基盤側の確認により技術的に可能であることが確認された（2026/3/30）。DCR の個別申請フローはクラウド事業者との協議中（★TBD）。</w:t>
      </w:r>
    </w:p>
    <w:p>
      <w:pPr>
        <w:spacing w:after="20" w:before="20"/>
        <w:jc w:val="left"/>
      </w:pPr>
      <w:r>
        <w:rPr>
          <w:rFonts w:ascii="MS Mincho" w:cs="MS Mincho" w:eastAsia="MS Mincho" w:hAnsi="MS Mincho"/>
          <w:b w:val="false"/>
          <w:bCs w:val="false"/>
          <w:color w:val="000000"/>
          <w:sz w:val="12"/>
          <w:szCs w:val="12"/>
        </w:rPr>
        <w:t xml:space="preserve"/>
      </w:r>
    </w:p>
    <w:p>
      <w:pPr>
        <w:pStyle w:val="Heading3"/>
        <w:spacing w:after="60" w:before="160"/>
        <w:ind w:left="360"/>
      </w:pPr>
      <w:r>
        <w:rPr>
          <w:rFonts w:ascii="MS Mincho" w:cs="MS Mincho" w:eastAsia="MS Mincho" w:hAnsi="MS Mincho"/>
          <w:b/>
          <w:bCs/>
          <w:color w:val="000000"/>
          <w:sz w:val="20"/>
          <w:szCs w:val="20"/>
        </w:rPr>
        <w:t xml:space="preserve">6.7.1. VM ログ → Log Analytics 同期フロー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20" w:before="20"/>
              <w:jc w:val="left"/>
            </w:pPr>
            <w:r>
              <w:rPr>
                <w:rFonts w:ascii="MS Mincho" w:cs="MS Mincho" w:eastAsia="MS Mincho" w:hAnsi="MS Mincho"/>
                <w:b w:val="false"/>
                <w:bCs w:val="false"/>
                <w:color w:val="000000"/>
                <w:sz w:val="17"/>
                <w:szCs w:val="17"/>
              </w:rPr>
              <w:t xml:space="preserve">① Serilog がログを C:\Logs\app\app-.log に書き込む</w:t>
            </w:r>
          </w:p>
          <w:p>
            <w:pPr>
              <w:spacing w:after="20" w:before="20"/>
              <w:jc w:val="left"/>
            </w:pPr>
            <w:r>
              <w:rPr>
                <w:rFonts w:ascii="MS Mincho" w:cs="MS Mincho" w:eastAsia="MS Mincho" w:hAnsi="MS Mincho"/>
                <w:b w:val="false"/>
                <w:bCs w:val="false"/>
                <w:color w:val="000000"/>
                <w:sz w:val="17"/>
                <w:szCs w:val="17"/>
              </w:rPr>
              <w:t xml:space="preserve">② AMA がファイルを監視し差分のみ読み取る（オフセット管理により重複なし）</w:t>
            </w:r>
          </w:p>
          <w:p>
            <w:pPr>
              <w:spacing w:after="20" w:before="20"/>
              <w:jc w:val="left"/>
            </w:pPr>
            <w:r>
              <w:rPr>
                <w:rFonts w:ascii="MS Mincho" w:cs="MS Mincho" w:eastAsia="MS Mincho" w:hAnsi="MS Mincho"/>
                <w:b w:val="false"/>
                <w:bCs w:val="false"/>
                <w:color w:val="000000"/>
                <w:sz w:val="17"/>
                <w:szCs w:val="17"/>
              </w:rPr>
              <w:t xml:space="preserve">③ DCR の設定に従い HTTPS（443番ポート）で Log Analytics へ送信する</w:t>
            </w:r>
          </w:p>
          <w:p>
            <w:pPr>
              <w:spacing w:after="20" w:before="20"/>
              <w:jc w:val="left"/>
            </w:pPr>
            <w:r>
              <w:rPr>
                <w:rFonts w:ascii="MS Mincho" w:cs="MS Mincho" w:eastAsia="MS Mincho" w:hAnsi="MS Mincho"/>
                <w:b w:val="false"/>
                <w:bCs w:val="false"/>
                <w:color w:val="000000"/>
                <w:sz w:val="17"/>
                <w:szCs w:val="17"/>
              </w:rPr>
              <w:t xml:space="preserve">④ Log Analytics の GovSystem_App_CL テーブルに格納される</w:t>
            </w:r>
          </w:p>
          <w:p>
            <w:pPr>
              <w:spacing w:after="20" w:before="20"/>
              <w:jc w:val="left"/>
            </w:pPr>
            <w:r>
              <w:rPr>
                <w:rFonts w:ascii="MS Mincho" w:cs="MS Mincho" w:eastAsia="MS Mincho" w:hAnsi="MS Mincho"/>
                <w:b w:val="false"/>
                <w:bCs w:val="false"/>
                <w:color w:val="000000"/>
                <w:sz w:val="17"/>
                <w:szCs w:val="17"/>
              </w:rPr>
              <w:t xml:space="preserve">⑤ Azure Portal → Log Analytics → ログ メニューで KQL クエリを実行して確認する</w:t>
            </w:r>
          </w:p>
          <w:p>
            <w:pPr>
              <w:spacing w:after="20" w:before="20"/>
              <w:jc w:val="left"/>
            </w:pPr>
            <w:r>
              <w:rPr>
                <w:rFonts w:ascii="MS Mincho" w:cs="MS Mincho" w:eastAsia="MS Mincho" w:hAnsi="MS Mincho"/>
                <w:b w:val="false"/>
                <w:bCs w:val="false"/>
                <w:color w:val="000000"/>
                <w:sz w:val="12"/>
                <w:szCs w:val="12"/>
              </w:rPr>
              <w:t xml:space="preserve"/>
            </w:r>
          </w:p>
          <w:p>
            <w:pPr>
              <w:spacing w:after="20" w:before="20"/>
              <w:jc w:val="left"/>
            </w:pPr>
            <w:r>
              <w:rPr>
                <w:rFonts w:ascii="MS Mincho" w:cs="MS Mincho" w:eastAsia="MS Mincho" w:hAnsi="MS Mincho"/>
                <w:b w:val="false"/>
                <w:bCs w:val="false"/>
                <w:color w:val="555555"/>
                <w:sz w:val="16"/>
                <w:szCs w:val="16"/>
              </w:rPr>
              <w:t xml:space="preserve">【タイムラグ】Serilog 書き込みから KQL で確認できるまで通常 5 分以内</w:t>
            </w:r>
          </w:p>
          <w:p>
            <w:pPr>
              <w:spacing w:after="20" w:before="20"/>
              <w:jc w:val="left"/>
            </w:pPr>
            <w:r>
              <w:rPr>
                <w:rFonts w:ascii="MS Mincho" w:cs="MS Mincho" w:eastAsia="MS Mincho" w:hAnsi="MS Mincho"/>
                <w:b w:val="false"/>
                <w:bCs w:val="false"/>
                <w:color w:val="555555"/>
                <w:sz w:val="16"/>
                <w:szCs w:val="16"/>
              </w:rPr>
              <w:t xml:space="preserve">【障害時】ネットワーク障害時はバッファに蓄積して復旧後に再送する</w:t>
            </w:r>
          </w:p>
        </w:tc>
      </w:tr>
    </w:tbl>
    <w:p>
      <w:pPr>
        <w:spacing w:after="20" w:before="20"/>
        <w:jc w:val="left"/>
      </w:pPr>
      <w:r>
        <w:rPr>
          <w:rFonts w:ascii="MS Mincho" w:cs="MS Mincho" w:eastAsia="MS Mincho" w:hAnsi="MS Mincho"/>
          <w:b w:val="false"/>
          <w:bCs w:val="false"/>
          <w:color w:val="000000"/>
          <w:sz w:val="12"/>
          <w:szCs w:val="12"/>
        </w:rPr>
        <w:t xml:space="preserve"/>
      </w:r>
    </w:p>
    <w:p>
      <w:pPr>
        <w:pStyle w:val="Heading3"/>
        <w:spacing w:after="60" w:before="160"/>
        <w:ind w:left="360"/>
      </w:pPr>
      <w:r>
        <w:rPr>
          <w:rFonts w:ascii="MS Mincho" w:cs="MS Mincho" w:eastAsia="MS Mincho" w:hAnsi="MS Mincho"/>
          <w:b/>
          <w:bCs/>
          <w:color w:val="000000"/>
          <w:sz w:val="20"/>
          <w:szCs w:val="20"/>
        </w:rPr>
        <w:t xml:space="preserve">6.7.2. 設定作業の役割分担</w:t>
      </w:r>
    </w:p>
    <w:p>
      <w:pPr>
        <w:spacing w:after="40" w:before="100"/>
        <w:ind w:left="240"/>
      </w:pPr>
      <w:r>
        <w:rPr>
          <w:rFonts w:ascii="MS Mincho" w:cs="MS Mincho" w:eastAsia="MS Mincho" w:hAnsi="MS Mincho"/>
          <w:b/>
          <w:bCs/>
          <w:color w:val="2E75B6"/>
          <w:sz w:val="17"/>
          <w:szCs w:val="17"/>
        </w:rPr>
        <w:t xml:space="preserve">表6-10　設定作業の役割分担</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46"/>
      </w:tblGrid>
      <w:tr>
        <w:tc>
          <w:tcPr>
            <w:tcW w:type="dxa" w:w="3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作業内容</w:t>
            </w:r>
          </w:p>
        </w:tc>
        <w:tc>
          <w:tcPr>
            <w:tcW w:type="dxa" w:w="2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担当</w:t>
            </w:r>
          </w:p>
        </w:tc>
        <w:tc>
          <w:tcPr>
            <w:tcW w:type="dxa" w:w="41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r>
      <w:tr>
        <w:tc>
          <w:tcPr>
            <w:tcW w:type="dxa" w:w="3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 の確認</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基盤側</w:t>
            </w:r>
          </w:p>
        </w:tc>
        <w:tc>
          <w:tcPr>
            <w:tcW w:type="dxa" w:w="4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★TBD：既存 Workspace を使用するか新規作成かを確認</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VM への AMA インストール確認</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基盤側</w:t>
            </w:r>
          </w:p>
        </w:tc>
        <w:tc>
          <w:tcPr>
            <w:tcW w:type="dxa" w:w="4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★TBD：既に VM にインストール済みかを確認</w:t>
            </w:r>
          </w:p>
        </w:tc>
      </w:tr>
      <w:tr>
        <w:tc>
          <w:tcPr>
            <w:tcW w:type="dxa" w:w="3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DCR の作成（ファイルパス・テーブル指定）</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基盤側 ／ アプリ側が申請</w:t>
            </w:r>
          </w:p>
        </w:tc>
        <w:tc>
          <w:tcPr>
            <w:tcW w:type="dxa" w:w="4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★TBD：クラウド事業者との協議中</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カスタムテーブル（GovSystem_App_CL）の作成</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基盤側 ／ アプリ側が申請</w:t>
            </w:r>
          </w:p>
        </w:tc>
        <w:tc>
          <w:tcPr>
            <w:tcW w:type="dxa" w:w="4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★TBD：テーブル名・スキーマをアプリ側が提示</w:t>
            </w:r>
          </w:p>
        </w:tc>
      </w:tr>
      <w:tr>
        <w:tc>
          <w:tcPr>
            <w:tcW w:type="dxa" w:w="3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VM マネージド ID への権限付与</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基盤側</w:t>
            </w:r>
          </w:p>
        </w:tc>
        <w:tc>
          <w:tcPr>
            <w:tcW w:type="dxa" w:w="4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共同作成者ロールの付与が必要</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アプリチームへの KQL 閲覧権限付与</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基盤側</w:t>
            </w:r>
          </w:p>
        </w:tc>
        <w:tc>
          <w:tcPr>
            <w:tcW w:type="dxa" w:w="4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★TBD：KQL での検索・確認権限の付与を申請する</w:t>
            </w:r>
          </w:p>
        </w:tc>
      </w:tr>
      <w:tr>
        <w:tc>
          <w:tcPr>
            <w:tcW w:type="dxa" w:w="3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ファイル出力設定</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アプリ側</w:t>
            </w:r>
          </w:p>
        </w:tc>
        <w:tc>
          <w:tcPr>
            <w:tcW w:type="dxa" w:w="4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appsettings.json のみ。6.4 参照。</w:t>
            </w:r>
          </w:p>
        </w:tc>
      </w:tr>
    </w:tbl>
    <w:p>
      <w:pPr>
        <w:spacing w:after="20" w:before="20"/>
        <w:jc w:val="left"/>
      </w:pPr>
      <w:r>
        <w:rPr>
          <w:rFonts w:ascii="MS Mincho" w:cs="MS Mincho" w:eastAsia="MS Mincho" w:hAnsi="MS Mincho"/>
          <w:b w:val="false"/>
          <w:bCs w:val="false"/>
          <w:color w:val="000000"/>
          <w:sz w:val="12"/>
          <w:szCs w:val="12"/>
        </w:rPr>
        <w:t xml:space="preserve"/>
      </w:r>
    </w:p>
    <w:p>
      <w:pPr>
        <w:pStyle w:val="Heading3"/>
        <w:spacing w:after="60" w:before="160"/>
        <w:ind w:left="360"/>
      </w:pPr>
      <w:r>
        <w:rPr>
          <w:rFonts w:ascii="MS Mincho" w:cs="MS Mincho" w:eastAsia="MS Mincho" w:hAnsi="MS Mincho"/>
          <w:b/>
          <w:bCs/>
          <w:color w:val="000000"/>
          <w:sz w:val="20"/>
          <w:szCs w:val="20"/>
        </w:rPr>
        <w:t xml:space="preserve">6.7.3. KQL によるログ確認方法</w:t>
      </w:r>
    </w:p>
    <w:p>
      <w:pPr>
        <w:spacing w:after="40" w:before="100"/>
        <w:ind w:left="240"/>
      </w:pPr>
      <w:r>
        <w:rPr>
          <w:rFonts w:ascii="MS Mincho" w:cs="MS Mincho" w:eastAsia="MS Mincho" w:hAnsi="MS Mincho"/>
          <w:b/>
          <w:bCs/>
          <w:color w:val="2E75B6"/>
          <w:sz w:val="17"/>
          <w:szCs w:val="17"/>
        </w:rPr>
        <w:t xml:space="preserve">表6-11　主要 KQL クエリ一覧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用途</w:t>
            </w:r>
          </w:p>
        </w:tc>
        <w:tc>
          <w:tcPr>
            <w:tcW w:type="dxa" w:w="73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KQL クエリ</w:t>
            </w:r>
          </w:p>
        </w:tc>
      </w:tr>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直近1時間のログ確認</w:t>
            </w:r>
          </w:p>
        </w:tc>
        <w:tc>
          <w:tcPr>
            <w:tcW w:type="dxa" w:w="7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GovSystem_App_CL | where TimeGenerated &gt; ago(1h) | order by TimeGenerated desc</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エラー・Fatal のみ抽出</w:t>
            </w:r>
          </w:p>
        </w:tc>
        <w:tc>
          <w:tcPr>
            <w:tcW w:type="dxa" w:w="7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GovSystem_App_CL | where RawData contains "Error" or RawData contains "Fatal"</w:t>
            </w:r>
          </w:p>
        </w:tc>
      </w:tr>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外部連携ログのみ</w:t>
            </w:r>
          </w:p>
        </w:tc>
        <w:tc>
          <w:tcPr>
            <w:tcW w:type="dxa" w:w="7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GovSystem_App_CL | where RawData contains "External"</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CSV 取込処理のみ</w:t>
            </w:r>
          </w:p>
        </w:tc>
        <w:tc>
          <w:tcPr>
            <w:tcW w:type="dxa" w:w="7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GovSystem_App_CL | where RawData contains "CsvFileWatcherService"</w:t>
            </w:r>
          </w:p>
        </w:tc>
      </w:tr>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特定ユーザの操作履歴</w:t>
            </w:r>
          </w:p>
        </w:tc>
        <w:tc>
          <w:tcPr>
            <w:tcW w:type="dxa" w:w="7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GovSystem_App_CL | where RawData contains "user@gov.go.jp"</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Polly リトライ多発検知</w:t>
            </w:r>
          </w:p>
        </w:tc>
        <w:tc>
          <w:tcPr>
            <w:tcW w:type="dxa" w:w="7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GovSystem_App_CL | where RawData contains "Polly" | summarize count() by bin(TimeGenerated, 10m)</w:t>
            </w:r>
          </w:p>
        </w:tc>
      </w:tr>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認証ログ（Entra ID）</w:t>
            </w:r>
          </w:p>
        </w:tc>
        <w:tc>
          <w:tcPr>
            <w:tcW w:type="dxa" w:w="73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SigninLogs | where AppDisplayName == "林業部門基幹システム" | project TimeGenerated, UserPrincipalName, ResultType, IPAddress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ログイン失敗一覧</w:t>
            </w:r>
          </w:p>
        </w:tc>
        <w:tc>
          <w:tcPr>
            <w:tcW w:type="dxa" w:w="73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SigninLogs | where ResultType != 0 | summarize FailCount=count() by UserPrincipalName | order by FailCount desc</w:t>
            </w:r>
          </w:p>
        </w:tc>
      </w:tr>
    </w:tbl>
    <w:p>
      <w:pPr>
        <w:spacing w:after="20" w:before="20"/>
        <w:jc w:val="left"/>
      </w:pPr>
      <w:r>
        <w:rPr>
          <w:rFonts w:ascii="MS Mincho" w:cs="MS Mincho" w:eastAsia="MS Mincho" w:hAnsi="MS Mincho"/>
          <w:b w:val="false"/>
          <w:bCs w:val="false"/>
          <w:color w:val="000000"/>
          <w:sz w:val="12"/>
          <w:szCs w:val="12"/>
        </w:rPr>
        <w:t xml:space="preserve"/>
      </w:r>
    </w:p>
    <w:p>
      <w:pPr>
        <w:spacing w:after="30" w:before="30"/>
        <w:ind w:left="480"/>
      </w:pPr>
      <w:r>
        <w:rPr>
          <w:rFonts w:ascii="MS Mincho" w:cs="MS Mincho" w:eastAsia="MS Mincho" w:hAnsi="MS Mincho"/>
          <w:color w:val="555555"/>
          <w:sz w:val="16"/>
          <w:szCs w:val="16"/>
        </w:rPr>
        <w:t xml:space="preserve">※ GovSystem_App_CL テーブル名は JAFFIC 基盤側と合意の上で確定する（★TBD）。</w:t>
      </w:r>
    </w:p>
    <w:p>
      <w:pPr>
        <w:spacing w:after="20" w:before="20"/>
        <w:jc w:val="left"/>
      </w:pPr>
      <w:r>
        <w:rPr>
          <w:rFonts w:ascii="MS Mincho" w:cs="MS Mincho" w:eastAsia="MS Mincho" w:hAnsi="MS Mincho"/>
          <w:b w:val="false"/>
          <w:bCs w:val="false"/>
          <w:color w:val="000000"/>
          <w:sz w:val="12"/>
          <w:szCs w:val="12"/>
        </w:rP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MS Mincho" w:cs="MS Mincho" w:eastAsia="MS Mincho" w:hAnsi="MS Mincho"/>
        <w:color w:val="666666"/>
        <w:sz w:val="14"/>
        <w:szCs w:val="14"/>
      </w:rPr>
      <w:t xml:space="preserve">- </w:t>
    </w:r>
    <w:r>
      <w:rPr>
        <w:rFonts w:ascii="MS Mincho" w:cs="MS Mincho" w:eastAsia="MS Mincho" w:hAnsi="MS Mincho"/>
        <w:color w:val="666666"/>
        <w:sz w:val="14"/>
        <w:szCs w:val="14"/>
      </w:rPr>
      <w:fldChar w:fldCharType="begin"/>
      <w:instrText xml:space="preserve">PAGE</w:instrText>
      <w:fldChar w:fldCharType="separate"/>
      <w:fldChar w:fldCharType="end"/>
    </w:r>
    <w:r>
      <w:rPr>
        <w:rFonts w:ascii="MS Mincho" w:cs="MS Mincho" w:eastAsia="MS Mincho" w:hAnsi="MS Mincho"/>
        <w:color w:val="666666"/>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before="0"/>
    </w:pPr>
    <w:r>
      <w:rPr>
        <w:rFonts w:ascii="MS Mincho" w:cs="MS Mincho" w:eastAsia="MS Mincho" w:hAnsi="MS Mincho"/>
        <w:color w:val="666666"/>
        <w:sz w:val="14"/>
        <w:szCs w:val="14"/>
      </w:rPr>
      <w:t xml:space="preserve">政府内部システム移行プロジェクト（林業部門）　アプリケーション処理方式設計書　第6章　ログ出力方式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MS Mincho" w:cs="MS Mincho" w:eastAsia="MS Mincho" w:hAnsi="MS Mincho"/>
      <w:b/>
      <w:bCs/>
      <w:color w:val="1F4E79"/>
      <w:sz w:val="26"/>
      <w:szCs w:val="26"/>
    </w:rPr>
  </w:style>
  <w:style w:type="paragraph" w:styleId="Heading2">
    <w:name w:val="Heading 2"/>
    <w:basedOn w:val="Normal"/>
    <w:next w:val="Normal"/>
    <w:qFormat/>
    <w:pPr>
      <w:spacing w:after="80" w:before="200"/>
      <w:outlineLvl w:val="1"/>
    </w:pPr>
    <w:rPr>
      <w:rFonts w:ascii="MS Mincho" w:cs="MS Mincho" w:eastAsia="MS Mincho" w:hAnsi="MS Mincho"/>
      <w:b/>
      <w:bCs/>
      <w:color w:val="2E75B6"/>
      <w:sz w:val="22"/>
      <w:szCs w:val="22"/>
    </w:rPr>
  </w:style>
  <w:style w:type="paragraph" w:styleId="Heading3">
    <w:name w:val="Heading 3"/>
    <w:basedOn w:val="Normal"/>
    <w:next w:val="Normal"/>
    <w:qFormat/>
    <w:pPr>
      <w:spacing w:after="60" w:before="160"/>
      <w:outlineLvl w:val="2"/>
    </w:pPr>
    <w:rPr>
      <w:rFonts w:ascii="MS Mincho" w:cs="MS Mincho" w:eastAsia="MS Mincho" w:hAnsi="MS Mincho"/>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2026-05-13T06:51:32.260Z</dcterms:created>
  <dcterms:modified xsi:type="dcterms:W3CDTF">2026-05-13T06:51:32.260Z</dcterms:modified>
</cp:coreProperties>
</file>

<file path=docProps/custom.xml><?xml version="1.0" encoding="utf-8"?>
<Properties xmlns="http://schemas.openxmlformats.org/officeDocument/2006/custom-properties" xmlns:vt="http://schemas.openxmlformats.org/officeDocument/2006/docPropsVTypes"/>
</file>