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t xml:space="preserve"/>
      </w:r>
    </w:p>
    <w:p>
      <w:pPr>
        <w:spacing w:after="160" w:before="0"/>
        <w:jc w:val="center"/>
      </w:pPr>
      <w:r>
        <w:rPr>
          <w:rFonts w:ascii="MS Gothic" w:cs="MS Gothic" w:eastAsia="MS Gothic" w:hAnsi="MS Gothic"/>
          <w:b/>
          <w:bCs/>
          <w:color w:val="1F3864"/>
          <w:sz w:val="48"/>
          <w:szCs w:val="48"/>
        </w:rPr>
        <w:t xml:space="preserve">林業信用基金基幹システム</w:t>
      </w:r>
    </w:p>
    <w:p>
      <w:pPr>
        <w:pBdr>
          <w:bottom w:val="single" w:color="2E75B6" w:sz="12"/>
        </w:pBdr>
        <w:spacing w:after="400" w:before="0"/>
        <w:jc w:val="center"/>
      </w:pPr>
      <w:r>
        <w:rPr>
          <w:rFonts w:ascii="MS Mincho" w:cs="MS Mincho" w:eastAsia="MS Mincho" w:hAnsi="MS Mincho"/>
          <w:b/>
          <w:bCs/>
          <w:color w:val="1F3864"/>
          <w:sz w:val="64"/>
          <w:szCs w:val="64"/>
        </w:rPr>
        <w:t xml:space="preserve">性　能　設　計　書</w:t>
      </w:r>
    </w:p>
    <w:p>
      <w:pPr>
        <w:spacing w:after="60" w:before="2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spacing w:after="80" w:before="80"/>
              <w:jc w:val="center"/>
            </w:pPr>
            <w:r>
              <w:rPr>
                <w:rFonts w:ascii="MS Gothic" w:cs="MS Gothic" w:eastAsia="MS Gothic" w:hAnsi="MS Gothic"/>
                <w:b/>
                <w:bCs/>
                <w:color w:val="FFFFFF"/>
                <w:sz w:val="18"/>
                <w:szCs w:val="18"/>
              </w:rPr>
              <w:t xml:space="preserve">ドキュメントID</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GS-DD-PERF-001</w:t>
            </w:r>
          </w:p>
        </w:tc>
      </w:tr>
      <w:tr>
        <w:tc>
          <w:tcPr>
            <w:tcW w:type="dxa" w:w="24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spacing w:after="80" w:before="80"/>
              <w:jc w:val="center"/>
            </w:pPr>
            <w:r>
              <w:rPr>
                <w:rFonts w:ascii="MS Gothic" w:cs="MS Gothic" w:eastAsia="MS Gothic" w:hAnsi="MS Gothic"/>
                <w:b/>
                <w:bCs/>
                <w:color w:val="FFFFFF"/>
                <w:sz w:val="18"/>
                <w:szCs w:val="18"/>
              </w:rPr>
              <w:t xml:space="preserve">バージョン</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1.0</w:t>
            </w:r>
          </w:p>
        </w:tc>
      </w:tr>
      <w:tr>
        <w:tc>
          <w:tcPr>
            <w:tcW w:type="dxa" w:w="24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spacing w:after="80" w:before="80"/>
              <w:jc w:val="center"/>
            </w:pPr>
            <w:r>
              <w:rPr>
                <w:rFonts w:ascii="MS Gothic" w:cs="MS Gothic" w:eastAsia="MS Gothic" w:hAnsi="MS Gothic"/>
                <w:b/>
                <w:bCs/>
                <w:color w:val="FFFFFF"/>
                <w:sz w:val="18"/>
                <w:szCs w:val="18"/>
              </w:rPr>
              <w:t xml:space="preserve">作成日</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2025年（令和7年）</w:t>
            </w:r>
          </w:p>
        </w:tc>
      </w:tr>
      <w:tr>
        <w:tc>
          <w:tcPr>
            <w:tcW w:type="dxa" w:w="24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spacing w:after="80" w:before="80"/>
              <w:jc w:val="center"/>
            </w:pPr>
            <w:r>
              <w:rPr>
                <w:rFonts w:ascii="MS Gothic" w:cs="MS Gothic" w:eastAsia="MS Gothic" w:hAnsi="MS Gothic"/>
                <w:b/>
                <w:bCs/>
                <w:color w:val="FFFFFF"/>
                <w:sz w:val="18"/>
                <w:szCs w:val="18"/>
              </w:rPr>
              <w:t xml:space="preserve">作成者</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OKI（沖電気工業株式会社）</w:t>
            </w:r>
          </w:p>
        </w:tc>
      </w:tr>
      <w:tr>
        <w:tc>
          <w:tcPr>
            <w:tcW w:type="dxa" w:w="24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spacing w:after="80" w:before="80"/>
              <w:jc w:val="center"/>
            </w:pPr>
            <w:r>
              <w:rPr>
                <w:rFonts w:ascii="MS Gothic" w:cs="MS Gothic" w:eastAsia="MS Gothic" w:hAnsi="MS Gothic"/>
                <w:b/>
                <w:bCs/>
                <w:color w:val="FFFFFF"/>
                <w:sz w:val="18"/>
                <w:szCs w:val="18"/>
              </w:rPr>
              <w:t xml:space="preserve">クライアント</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JAFFIC（農林漁業信用基金）</w:t>
            </w:r>
          </w:p>
        </w:tc>
      </w:tr>
      <w:tr>
        <w:tc>
          <w:tcPr>
            <w:tcW w:type="dxa" w:w="24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spacing w:after="80" w:before="80"/>
              <w:jc w:val="center"/>
            </w:pPr>
            <w:r>
              <w:rPr>
                <w:rFonts w:ascii="MS Gothic" w:cs="MS Gothic" w:eastAsia="MS Gothic" w:hAnsi="MS Gothic"/>
                <w:b/>
                <w:bCs/>
                <w:color w:val="FFFFFF"/>
                <w:sz w:val="18"/>
                <w:szCs w:val="18"/>
              </w:rPr>
              <w:t xml:space="preserve">機密区分</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80" w:before="80"/>
              <w:jc w:val="center"/>
            </w:pPr>
            <w:r>
              <w:rPr>
                <w:rFonts w:ascii="MS Gothic" w:cs="MS Gothic" w:eastAsia="MS Gothic" w:hAnsi="MS Gothic"/>
                <w:b/>
                <w:bCs/>
                <w:color w:val="C00000"/>
                <w:sz w:val="18"/>
                <w:szCs w:val="18"/>
              </w:rPr>
              <w:t xml:space="preserve">社外秘</w:t>
            </w:r>
          </w:p>
        </w:tc>
      </w:tr>
    </w:tbl>
    <w:p>
      <w:pPr>
        <w:spacing w:after="60" w:before="600"/>
      </w:pPr>
      <w:r>
        <w:t xml:space="preserve"/>
      </w:r>
    </w:p>
    <w:p>
      <w:pPr>
        <w:spacing w:after="0" w:before="0"/>
        <w:jc w:val="center"/>
      </w:pPr>
      <w:r>
        <w:rPr>
          <w:rFonts w:ascii="MS Gothic" w:cs="MS Gothic" w:eastAsia="MS Gothic" w:hAnsi="MS Gothic"/>
          <w:color w:val="595959"/>
          <w:sz w:val="16"/>
          <w:szCs w:val="16"/>
        </w:rPr>
        <w:t xml:space="preserve">※本文書はJAFFICクラウド環境（Azure）上で稼働する林業部門基幹システムの</w:t>
      </w:r>
    </w:p>
    <w:p>
      <w:pPr>
        <w:spacing w:after="0" w:before="0"/>
        <w:jc w:val="center"/>
      </w:pPr>
      <w:r>
        <w:rPr>
          <w:rFonts w:ascii="MS Gothic" w:cs="MS Gothic" w:eastAsia="MS Gothic" w:hAnsi="MS Gothic"/>
          <w:color w:val="595959"/>
          <w:sz w:val="16"/>
          <w:szCs w:val="16"/>
        </w:rPr>
        <w:t xml:space="preserve">性能に関する設計方針・目標値・テスト計画を定めるものである。</w:t>
      </w:r>
    </w:p>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改訂履歴</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5526"/>
      </w:tblGrid>
      <w:tr>
        <w:tc>
          <w:tcPr>
            <w:tcW w:type="dxa" w:w="7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版</w:t>
            </w:r>
          </w:p>
        </w:tc>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改訂日</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改訂者</w:t>
            </w:r>
          </w:p>
        </w:tc>
        <w:tc>
          <w:tcPr>
            <w:tcW w:type="dxa" w:w="55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改訂内容</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1.0</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2025/－/－</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OKI</w:t>
            </w:r>
          </w:p>
        </w:tc>
        <w:tc>
          <w:tcPr>
            <w:tcW w:type="dxa" w:w="5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初版作成</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c>
          <w:tcPr>
            <w:tcW w:type="dxa" w:w="5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c>
          <w:tcPr>
            <w:tcW w:type="dxa" w:w="5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w:r>
          </w:p>
        </w:tc>
      </w:tr>
    </w:tbl>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1. 目的</w:t>
      </w:r>
    </w:p>
    <w:p>
      <w:pPr>
        <w:spacing w:after="80" w:before="80"/>
        <w:ind/>
        <w:jc w:val="left"/>
      </w:pPr>
      <w:r>
        <w:rPr>
          <w:rFonts w:ascii="MS Gothic" w:cs="MS Gothic" w:eastAsia="MS Gothic" w:hAnsi="MS Gothic"/>
          <w:b w:val="false"/>
          <w:bCs w:val="false"/>
          <w:color w:val="000000"/>
          <w:sz w:val="20"/>
          <w:szCs w:val="20"/>
        </w:rPr>
        <w:t xml:space="preserve">本文書は、林業信用基金基幹システム（以下「本システム」）のリプレース開発（ASP.NET Web Forms + VB.NET → Angular 18 + .NET 10 Web API）にあたり、システム全体の性能に関する設計方針、性能目標値、各層における性能向上策、および性能テストの実施方法を定めるものである。</w:t>
      </w:r>
    </w:p>
    <w:p>
      <w:pPr>
        <w:spacing w:after="80" w:before="80"/>
        <w:ind/>
        <w:jc w:val="left"/>
      </w:pPr>
      <w:r>
        <w:rPr>
          <w:rFonts w:ascii="MS Gothic" w:cs="MS Gothic" w:eastAsia="MS Gothic" w:hAnsi="MS Gothic"/>
          <w:b w:val="false"/>
          <w:bCs w:val="false"/>
          <w:color w:val="000000"/>
          <w:sz w:val="20"/>
          <w:szCs w:val="20"/>
        </w:rPr>
        <w:t xml:space="preserve">本設計書に基づき、受注者（OKI）は性能目標値の達成に向けた設計・実装・テストを実施し、発注者（JAFFIC）の承認を得ること。</w:t>
      </w:r>
    </w:p>
    <w:p>
      <w:pPr>
        <w:spacing w:after="60" w:before="60"/>
      </w:pPr>
      <w:r>
        <w:t xml:space="preserve"/>
      </w:r>
    </w:p>
    <w:p>
      <w:pPr>
        <w:pStyle w:val="Heading1"/>
        <w:shd w:fill="1F3864" w:val="clear"/>
        <w:spacing w:after="120" w:before="240"/>
        <w:ind w:left="120" w:right="120"/>
      </w:pPr>
      <w:r>
        <w:rPr>
          <w:rFonts w:ascii="MS Gothic" w:cs="MS Gothic" w:eastAsia="MS Gothic" w:hAnsi="MS Gothic"/>
          <w:b/>
          <w:bCs/>
          <w:color w:val="FFFFFF"/>
          <w:sz w:val="28"/>
          <w:szCs w:val="28"/>
        </w:rPr>
        <w:t xml:space="preserve">2. 適用範囲</w:t>
      </w:r>
    </w:p>
    <w:p>
      <w:pPr>
        <w:spacing w:after="80" w:before="80"/>
        <w:ind/>
        <w:jc w:val="left"/>
      </w:pPr>
      <w:r>
        <w:rPr>
          <w:rFonts w:ascii="MS Gothic" w:cs="MS Gothic" w:eastAsia="MS Gothic" w:hAnsi="MS Gothic"/>
          <w:b w:val="false"/>
          <w:bCs w:val="false"/>
          <w:color w:val="000000"/>
          <w:sz w:val="20"/>
          <w:szCs w:val="20"/>
        </w:rPr>
        <w:t xml:space="preserve">本文書は以下のシステム範囲に適用する。</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対象区分</w:t>
            </w:r>
          </w:p>
        </w:tc>
        <w:tc>
          <w:tcPr>
            <w:tcW w:type="dxa" w:w="7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内容</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対象システム</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林業信用基金基幹システム（林業部門）全サブシステム（HOSHO / SATEI / SUISHIN / KEIRI / KYOTSU / KASHI / KITAKU / AUTH）</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対象環境</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JAFFICクラウド（Microsoft Azure）— Azure VM (Windows Server 2025 Datacenter Azure Edition) + IIS + Azure SQL Database + Azure Blob Storage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対象ユーザー</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信用基金林業部門・信用基金経理課（最大同時接続数：約40名）</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対象外</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外部システム（格付判定システム、財務会計システム等）の内部性能。ただし本システムとのインターフェース応答時間は対象とする。</w:t>
            </w:r>
          </w:p>
        </w:tc>
      </w:tr>
    </w:tbl>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3. 性能目標値</w:t>
      </w:r>
    </w:p>
    <w:p>
      <w:pPr>
        <w:spacing w:after="60" w:before="4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3.1 応答時間目標値</w:t>
      </w:r>
    </w:p>
    <w:p>
      <w:pPr>
        <w:spacing w:after="80" w:before="60"/>
        <w:ind/>
        <w:jc w:val="left"/>
      </w:pPr>
      <w:r>
        <w:rPr>
          <w:rFonts w:ascii="MS Gothic" w:cs="MS Gothic" w:eastAsia="MS Gothic" w:hAnsi="MS Gothic"/>
          <w:b w:val="false"/>
          <w:bCs w:val="false"/>
          <w:color w:val="000000"/>
          <w:sz w:val="20"/>
          <w:szCs w:val="20"/>
        </w:rPr>
        <w:t xml:space="preserve">本システムの応答時間目標値を以下に示す。本目標値は「3.3 規模に関する事項」にて予想される最大負荷に対して50%の余裕を考慮して算定したものである。目標値は、連携するシステムやデータベース等の状況に影響を受けることを踏まえ、必要に応じて目標値の見直し・信用基金への提案・説明し、承認を得ること。</w:t>
      </w:r>
    </w:p>
    <w:p>
      <w:pPr>
        <w:spacing w:after="60" w:before="40"/>
      </w:pPr>
      <w:r>
        <w:t xml:space="preserve"/>
      </w:r>
    </w:p>
    <w:p>
      <w:pPr>
        <w:spacing w:after="60" w:before="40"/>
        <w:ind/>
        <w:jc w:val="center"/>
      </w:pPr>
      <w:r>
        <w:rPr>
          <w:rFonts w:ascii="MS Gothic" w:cs="MS Gothic" w:eastAsia="MS Gothic" w:hAnsi="MS Gothic"/>
          <w:b w:val="false"/>
          <w:bCs w:val="false"/>
          <w:color w:val="000000"/>
          <w:sz w:val="18"/>
          <w:szCs w:val="18"/>
        </w:rPr>
        <w:t xml:space="preserve">表 3-1　応答時間の目標値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200"/>
        <w:gridCol w:w="2000"/>
        <w:gridCol w:w="2026"/>
      </w:tblGrid>
      <w:tr>
        <w:tc>
          <w:tcPr>
            <w:tcW w:type="dxa" w:w="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No.</w:t>
            </w:r>
          </w:p>
        </w:tc>
        <w:tc>
          <w:tcPr>
            <w:tcW w:type="dxa" w:w="23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設定対象</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指標名</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目標値</w:t>
            </w:r>
          </w:p>
        </w:tc>
        <w:tc>
          <w:tcPr>
            <w:tcW w:type="dxa" w:w="2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補足</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画面遷移（初回表示・ページ切替）</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レスポンスタイム</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3秒以内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ピーク時を対象とする。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情報検索（一覧・絞込検索・集計）</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レスポンスタイム</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5秒以内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ピーク時を対象とする。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3</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画面入力情報登録（新規・更新・削除）</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レスポンスタイム</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3秒以内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ピーク時を対象とする。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4</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帳票イメージ表示（Excel / PDF）</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レスポンスタイム</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10秒以内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ピーク時を対象とする。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5</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ファイルアップロード（OCR連携CSVを含む）</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完了通知までの時間</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10秒以内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ファイルサイズ5MB以下を前提とする。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6</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月次バッチ処理（保証料計算・統計資料等）</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バッチ処理時間</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30分以内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業務時間外実行（深夜帯）を想定。</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7</w:t>
            </w:r>
          </w:p>
        </w:tc>
        <w:tc>
          <w:tcPr>
            <w:tcW w:type="dxa" w:w="2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外部API連携（格付判定システム等）</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API応答時間（本システム側）</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5秒以内</w:t>
            </w:r>
          </w:p>
        </w:tc>
        <w:tc>
          <w:tcPr>
            <w:tcW w:type="dxa" w:w="2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外部システム処理時間を除く。タイムアウト設定：30秒。</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3.2 スループット・同時接続目標値</w:t>
      </w:r>
    </w:p>
    <w:p>
      <w:pPr>
        <w:spacing w:after="60" w:before="40"/>
        <w:ind/>
        <w:jc w:val="center"/>
      </w:pPr>
      <w:r>
        <w:rPr>
          <w:rFonts w:ascii="MS Gothic" w:cs="MS Gothic" w:eastAsia="MS Gothic" w:hAnsi="MS Gothic"/>
          <w:b w:val="false"/>
          <w:bCs w:val="false"/>
          <w:color w:val="000000"/>
          <w:sz w:val="18"/>
          <w:szCs w:val="18"/>
        </w:rPr>
        <w:t xml:space="preserve">表 3-2　スループット・同時接続の目標値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指標</w:t>
            </w:r>
          </w:p>
        </w:tc>
        <w:tc>
          <w:tcPr>
            <w:tcW w:type="dxa" w:w="2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目標値</w:t>
            </w:r>
          </w:p>
        </w:tc>
        <w:tc>
          <w:tcPr>
            <w:tcW w:type="dxa" w:w="3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備考</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最大同時接続ユーザー数</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40名</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全職員が同時ログインした場合を最大とする。</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ピーク時リクエスト数（RPS）</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10 RPS以下</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月次処理ピーク時（保証料計算等）を想定。</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平常時リクエスト数（RPS）</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3 RPS以下</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通常業務時間帯の推定値。</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DB接続プール数</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最大50接続</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SQL Database の接続上限を考慮して設定する。★要確認</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3.3 可用性・稼働率目標値</w:t>
      </w:r>
    </w:p>
    <w:p>
      <w:pPr>
        <w:spacing w:after="60" w:before="40"/>
        <w:ind/>
        <w:jc w:val="center"/>
      </w:pPr>
      <w:r>
        <w:rPr>
          <w:rFonts w:ascii="MS Gothic" w:cs="MS Gothic" w:eastAsia="MS Gothic" w:hAnsi="MS Gothic"/>
          <w:b w:val="false"/>
          <w:bCs w:val="false"/>
          <w:color w:val="000000"/>
          <w:sz w:val="18"/>
          <w:szCs w:val="18"/>
        </w:rPr>
        <w:t xml:space="preserve">表 3-3　可用性目標値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指標</w:t>
            </w:r>
          </w:p>
        </w:tc>
        <w:tc>
          <w:tcPr>
            <w:tcW w:type="dxa" w:w="2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目標値</w:t>
            </w:r>
          </w:p>
        </w:tc>
        <w:tc>
          <w:tcPr>
            <w:tcW w:type="dxa" w:w="3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備考</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システム稼働率（年間）</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99.5%以上</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計画停止（メンテナンス）を除く。</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業務時間内稼働率</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99.9%以上</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平日9:00〜18:00を業務時間とする。★要確認</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最大連続停止許容時間</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4時間以内</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障害発生時の復旧目標時間（RTO）。★要確認</w:t>
            </w:r>
          </w:p>
        </w:tc>
      </w:tr>
      <w:tr>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データ復旧ポイント（RPO）</w:t>
            </w:r>
          </w:p>
        </w:tc>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24時間以内</w:t>
            </w:r>
          </w:p>
        </w:tc>
        <w:tc>
          <w:tcPr>
            <w:tcW w:type="dxa" w:w="3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SQL Database 自動バックアップに依存。★要確認</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3.4 応答時間測定条件</w:t>
      </w:r>
    </w:p>
    <w:p>
      <w:pPr>
        <w:spacing w:after="60" w:before="60"/>
        <w:ind/>
        <w:jc w:val="left"/>
      </w:pPr>
      <w:r>
        <w:rPr>
          <w:rFonts w:ascii="MS Gothic" w:cs="MS Gothic" w:eastAsia="MS Gothic" w:hAnsi="MS Gothic"/>
          <w:b w:val="false"/>
          <w:bCs w:val="false"/>
          <w:color w:val="000000"/>
          <w:sz w:val="20"/>
          <w:szCs w:val="20"/>
        </w:rPr>
        <w:t xml:space="preserve">オンライン処理における応答時間の測定条件は①および②のとおりとする。</w:t>
      </w:r>
    </w:p>
    <w:p>
      <w:pPr>
        <w:pStyle w:val="ListParagraph"/>
        <w:numPr>
          <w:ilvl w:val="0"/>
          <w:numId w:val="2"/>
        </w:numPr>
        <w:spacing w:after="40" w:before="40"/>
      </w:pPr>
      <w:r>
        <w:rPr>
          <w:rFonts w:ascii="MS Gothic" w:cs="MS Gothic" w:eastAsia="MS Gothic" w:hAnsi="MS Gothic"/>
          <w:sz w:val="20"/>
          <w:szCs w:val="20"/>
        </w:rPr>
        <w:t xml:space="preserve">信用基金指定の2台以上の端末に、受注者の費用負担で納入する測定用ツールをインストールする等して、自動で端末での応答時間を測定し、その平均値を用いることとする。</w:t>
      </w:r>
    </w:p>
    <w:p>
      <w:pPr>
        <w:pStyle w:val="ListParagraph"/>
        <w:numPr>
          <w:ilvl w:val="0"/>
          <w:numId w:val="2"/>
        </w:numPr>
        <w:spacing w:after="40" w:before="40"/>
      </w:pPr>
      <w:r>
        <w:rPr>
          <w:rFonts w:ascii="MS Gothic" w:cs="MS Gothic" w:eastAsia="MS Gothic" w:hAnsi="MS Gothic"/>
          <w:sz w:val="20"/>
          <w:szCs w:val="20"/>
        </w:rPr>
        <w:t xml:space="preserve">キャッシュ効果により応答時間が短縮されたと思われる測定結果は対象外とすること。</w:t>
      </w:r>
    </w:p>
    <w:p>
      <w:pPr>
        <w:spacing w:after="60" w:before="60"/>
      </w:pPr>
      <w:r>
        <w:t xml:space="preserve"/>
      </w:r>
    </w:p>
    <w:p>
      <w:pPr>
        <w:spacing w:after="40" w:before="40"/>
        <w:ind/>
        <w:jc w:val="left"/>
      </w:pPr>
      <w:r>
        <w:rPr>
          <w:rFonts w:ascii="MS Gothic" w:cs="MS Gothic" w:eastAsia="MS Gothic" w:hAnsi="MS Gothic"/>
          <w:b w:val="false"/>
          <w:bCs w:val="false"/>
          <w:color w:val="000000"/>
          <w:sz w:val="18"/>
          <w:szCs w:val="18"/>
        </w:rPr>
        <w:t xml:space="preserve">※ 応答時間の測定は「端末でのDOM Contentが完全表示されるまでの時間」を基準とし、ネットワーク遅延（VPN経由）を含めた実態に即した数値を用いること。</w:t>
      </w:r>
    </w:p>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4. 性能設計方針</w:t>
      </w:r>
    </w:p>
    <w:p>
      <w:pPr>
        <w:spacing w:after="80" w:before="80"/>
        <w:ind/>
        <w:jc w:val="left"/>
      </w:pPr>
      <w:r>
        <w:rPr>
          <w:rFonts w:ascii="MS Gothic" w:cs="MS Gothic" w:eastAsia="MS Gothic" w:hAnsi="MS Gothic"/>
          <w:b w:val="false"/>
          <w:bCs w:val="false"/>
          <w:color w:val="000000"/>
          <w:sz w:val="20"/>
          <w:szCs w:val="20"/>
        </w:rPr>
        <w:t xml:space="preserve">本システムの性能目標値を達成するために、フロントエンド・バックエンド・データベース・インフラの各層において以下の性能設計方針を適用する。</w:t>
      </w:r>
    </w:p>
    <w:p>
      <w:pPr>
        <w:spacing w:after="60" w:before="4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4.1 フロントエンド性能設計（Angular 18）</w:t>
      </w:r>
    </w:p>
    <w:p>
      <w:pPr>
        <w:spacing w:after="60" w:before="40"/>
      </w:pPr>
      <w:r>
        <w:t xml:space="preserve"/>
      </w:r>
    </w:p>
    <w:p>
      <w:pPr>
        <w:pStyle w:val="Heading3"/>
        <w:spacing w:after="60" w:before="160"/>
      </w:pPr>
      <w:r>
        <w:rPr>
          <w:rFonts w:ascii="MS Gothic" w:cs="MS Gothic" w:eastAsia="MS Gothic" w:hAnsi="MS Gothic"/>
          <w:b/>
          <w:bCs/>
          <w:color w:val="2E75B6"/>
          <w:sz w:val="22"/>
          <w:szCs w:val="22"/>
        </w:rPr>
        <w:t xml:space="preserve">4.1.1 バンドルサイズ最適化</w:t>
      </w:r>
    </w:p>
    <w:p>
      <w:pPr>
        <w:spacing w:after="60" w:before="40"/>
        <w:ind/>
        <w:jc w:val="left"/>
      </w:pPr>
      <w:r>
        <w:rPr>
          <w:rFonts w:ascii="MS Gothic" w:cs="MS Gothic" w:eastAsia="MS Gothic" w:hAnsi="MS Gothic"/>
          <w:b w:val="false"/>
          <w:bCs w:val="false"/>
          <w:color w:val="000000"/>
          <w:sz w:val="20"/>
          <w:szCs w:val="20"/>
        </w:rPr>
        <w:t xml:space="preserve">Angular 18のビルドパイプラインを活用し、初回読み込み時のバンドルサイズを最小化する。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遅延読み込み（Lazy Loading）</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サブシステム単位（HOSHO / SATEI / SUISHIN / KEIRI / KYOTSU / KASHI / KITAKU）でAngularモジュールを遅延読み込みする。ユーザーが該当サブシステムにアクセスした時のみバンドルチャンクを取得するため、初回表示速度を向上させる。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AOT（Ahead-of-Time）コンパイル</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プロダクションビルド時はAOTコンパイルを適用し、ブラウザ側のテンプレートコンパイル処理を不要とする。これにより初期画面描画時間を短縮する。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Tree Shaking</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未使用のコード・モジュールをビルド時に自動除去する。import文の管理を徹底し、不要なAngular Materialモジュールをインポートしないよう実装規約として定める。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静的ファイル圧縮（gzip）</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IIS側でgzip圧縮を有効化し、JavaScriptバンドル・CSSファイルを圧縮して転送量を削減する。JavaScript・CSSに対してgzip圧縮を適用し、転送サイズを60〜80%削減することを目標とする。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ブラウザキャッシュ制御</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Angular CLIが生成するコンテントハッシュ付きファイル名（例：main.a1b2c3.js）を活用し、変更のないファイルはブラウザキャッシュから読み込む。ただし性能測定時はキャッシュを無効化（キャッシュクリア状態）にて計測する。</w:t>
            </w:r>
          </w:p>
        </w:tc>
      </w:tr>
    </w:tbl>
    <w:p>
      <w:pPr>
        <w:spacing w:after="60" w:before="80"/>
      </w:pPr>
      <w:r>
        <w:t xml:space="preserve"/>
      </w:r>
    </w:p>
    <w:p>
      <w:pPr>
        <w:pStyle w:val="Heading3"/>
        <w:spacing w:after="60" w:before="160"/>
      </w:pPr>
      <w:r>
        <w:rPr>
          <w:rFonts w:ascii="MS Gothic" w:cs="MS Gothic" w:eastAsia="MS Gothic" w:hAnsi="MS Gothic"/>
          <w:b/>
          <w:bCs/>
          <w:color w:val="2E75B6"/>
          <w:sz w:val="22"/>
          <w:szCs w:val="22"/>
        </w:rPr>
        <w:t xml:space="preserve">4.1.2 画面描画・インタラクション最適化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OnPush変更検知戦略</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全コンポーネントでChangeDetectionStrategy.OnPushを採用する。Angular SignalsおよびRxJSのObservableとの組み合わせにより、不要な変更検知サイクルを排除し、DOM更新コストを最小化する。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仮想スクロール（Virtual Scroll）</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大量データの一覧表示（保証審査一覧・求償権管理台帳等）において、Angular CDKのVirtualScrollViewportを使用する。DOM上に描画するのは表示領域内の行のみとし、数百〜数千件のデータ表示時もスクロール性能を維持する。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ローディングインジケーター</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LoadingInterceptorによりAPIリクエスト中はプログレスバーを表示する。ユーザーの待機感を軽減し、処理中であることを視覚的に伝える。画面が応答しているように見せることで体感応答時間を改善する。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ページネーション（サーバーサイド）</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件取得を禁止し、一覧取得APIはページ番号・ページサイズをパラメータとして受け取るサーバーサイドページネーションを必須とする。1ページあたりの取得件数は最大50件とし、必要に応じてクライアント側で調整可能な設計と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入力フォームの非同期バリデーション制御</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サーバーサイドバリデーションが必要な項目（重複チェック等）は、debounceTime（300ms）を設定して連続入力中のリクエスト発行を抑制する。</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4.2 バックエンド性能設計（.NET 10 Web API）</w:t>
      </w:r>
    </w:p>
    <w:p>
      <w:pPr>
        <w:spacing w:after="60" w:before="40"/>
      </w:pPr>
      <w:r>
        <w:t xml:space="preserve"/>
      </w:r>
    </w:p>
    <w:p>
      <w:pPr>
        <w:pStyle w:val="Heading3"/>
        <w:spacing w:after="60" w:before="160"/>
      </w:pPr>
      <w:r>
        <w:rPr>
          <w:rFonts w:ascii="MS Gothic" w:cs="MS Gothic" w:eastAsia="MS Gothic" w:hAnsi="MS Gothic"/>
          <w:b/>
          <w:bCs/>
          <w:color w:val="2E75B6"/>
          <w:sz w:val="22"/>
          <w:szCs w:val="22"/>
        </w:rPr>
        <w:t xml:space="preserve">4.2.1 非同期処理の徹底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async/await の全面採用</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Controller・Service・Repositoryの全メソッドでasync/awaitを使用し、I/O待機中のスレッドブロッキングを排除する。EF CoreのQueryAsync・SaveChangesAsyncを必ず使用し、同期APIの使用を禁止する。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BackgroundServiceによるバッチ処理分離</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OCR連携CSVの取り込み処理・月次バッチ処理等、長時間かかる処理はIHostedService（BackgroundService）として非同期実行する。HTTPリクエストのタイムアウトとは独立して実行し、フロントエンドには処理受付結果（202 Accepted）を即時返却する。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CancellationToken の伝播</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全APIエンドポイントからCancellationTokenを受け取り、EF Coreクエリ・外部APIコール・ファイルIOまで伝播させる。クライアントが接続を切断した場合に不要な処理を速やかに中断する。</w:t>
            </w:r>
          </w:p>
        </w:tc>
      </w:tr>
    </w:tbl>
    <w:p>
      <w:pPr>
        <w:spacing w:after="60" w:before="80"/>
      </w:pPr>
      <w:r>
        <w:t xml:space="preserve"/>
      </w:r>
    </w:p>
    <w:p>
      <w:pPr>
        <w:pStyle w:val="Heading3"/>
        <w:spacing w:after="60" w:before="160"/>
      </w:pPr>
      <w:r>
        <w:rPr>
          <w:rFonts w:ascii="MS Gothic" w:cs="MS Gothic" w:eastAsia="MS Gothic" w:hAnsi="MS Gothic"/>
          <w:b/>
          <w:bCs/>
          <w:color w:val="2E75B6"/>
          <w:sz w:val="22"/>
          <w:szCs w:val="22"/>
        </w:rPr>
        <w:t xml:space="preserve">4.2.2 レスポンスキャッシュ・メモリ管理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IMemoryCacheによるインメモリキャッシュ</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更新頻度の低いマスターデータ（コードマスタ・部門マスタ・保証種別マスタ等）はIMemoryCacheに保持し、DBアクセスを削減する。キャッシュ有効期間は原則30分とし、マスターデータ更新時にキャッシュを無効化（Invalidate）する仕組みを設け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レスポンス圧縮（Response Compression）</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ASP.NET Core組み込みのResponseCompression Middlewareを有効化し、大量データを返すAPI（一覧取得・帳票データ等）の転送量を削減する。Content-Type: application/jsonに対してBrotli圧縮（第1優先）またはgzip圧縮を適用する。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帳票生成のストリーム出力</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ExcelCreator v12・ActiveReports v20による帳票生成はMemoryStreamへ直接書き出し、FileContentResultとしてストリーミング返却する。帳票データをいったんファイルシステムやBlobに保存する不要なI/Oを排除する。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Pollyによる外部API耐障害設計</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格付判定システム等の外部APIへのコールはPollyのRetryPolicy（指数バックオフ、最大3回）とCircuitBreakerPolicy（5回失敗で30秒遮断）を組み合わせる。外部APIの応答遅延が本システムのスレッドプールを枯渇させないようタイムアウト（30秒）を設定する。</w:t>
            </w:r>
          </w:p>
        </w:tc>
      </w:tr>
    </w:tbl>
    <w:p>
      <w:pPr>
        <w:spacing w:after="60" w:before="80"/>
      </w:pPr>
      <w:r>
        <w:t xml:space="preserve"/>
      </w:r>
    </w:p>
    <w:p>
      <w:pPr>
        <w:pStyle w:val="Heading3"/>
        <w:spacing w:after="60" w:before="160"/>
      </w:pPr>
      <w:r>
        <w:rPr>
          <w:rFonts w:ascii="MS Gothic" w:cs="MS Gothic" w:eastAsia="MS Gothic" w:hAnsi="MS Gothic"/>
          <w:b/>
          <w:bCs/>
          <w:color w:val="2E75B6"/>
          <w:sz w:val="22"/>
          <w:szCs w:val="22"/>
        </w:rPr>
        <w:t xml:space="preserve">4.2.3 ページネーション・データ量制限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全件取得の禁止</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一覧取得APIは必ずページネーションパラメータ（pageNumber, pageSize）を受け取る設計とする。pageSize上限を100件とし、上限を超えるリクエストは400 Bad Requestを返す。ODataやGraphQLは使用しない。</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SELECT N+1問題の排除</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EF Coreのクエリ設計時にNavigationPropertyのN+1問題を防止する。Include / ThenInclude による積極的読み込み（Eager Loading）または明示的読み込みを適切に使い分け、発行SQLを最小化する。本番リリース前にSerilogでSQL文をDEBUGレベルで出力し、N+1が発生していないことをレビューで確認する。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射影（Select / DTO変換）の徹底</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クエリ時にEntityを全列取得（SELECT *）せず、必要な列のみをDTOに射影する。AutoMapperのProjectTo&lt;T&gt;()を使用してDB側でSELECT列を絞り込む。</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4.3 データベース性能設計（Azure SQL Database）</w:t>
      </w:r>
    </w:p>
    <w:p>
      <w:pPr>
        <w:spacing w:after="60" w:before="40"/>
      </w:pPr>
      <w:r>
        <w:t xml:space="preserve"/>
      </w:r>
    </w:p>
    <w:p>
      <w:pPr>
        <w:pStyle w:val="Heading3"/>
        <w:spacing w:after="60" w:before="160"/>
      </w:pPr>
      <w:r>
        <w:rPr>
          <w:rFonts w:ascii="MS Gothic" w:cs="MS Gothic" w:eastAsia="MS Gothic" w:hAnsi="MS Gothic"/>
          <w:b/>
          <w:bCs/>
          <w:color w:val="2E75B6"/>
          <w:sz w:val="22"/>
          <w:szCs w:val="22"/>
        </w:rPr>
        <w:t xml:space="preserve">4.3.1 インデックス設計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主キー・外部キーインデックス</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全テーブルに主キー（CLUSTERED）を設定する。外部キー列には非クラスター化インデックス（NONCLUSTERED）を付与し、JOIN性能を確保する。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検索条件カラムへのインデックス付与</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頻繁に検索条件となる列（法人番号・保証番号・処理年月・ステータス等）には非クラスター化インデックスを設計段階で設ける。複合検索条件が多い画面は複合インデックスの有効性を検証する。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インデックス過多の抑制</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インデックスは書き込み性能に影響するため、DML（INSERT/UPDATE/DELETE）の多いテーブルへの過剰なインデックス付与を避ける。実際のクエリパターンを分析した上で必要最小限のインデックスを設計する。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実行計画レビュー</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性能テスト実施時にAzure SQL DatabaseのQuery Performance Insightを使用し、高コストクエリ（上位5件）を抽出・分析する。FULLSCANが発生しているクエリはインデックスの追加またはクエリリライトで対処する。</w:t>
            </w:r>
          </w:p>
        </w:tc>
      </w:tr>
    </w:tbl>
    <w:p>
      <w:pPr>
        <w:spacing w:after="60" w:before="80"/>
      </w:pPr>
      <w:r>
        <w:t xml:space="preserve"/>
      </w:r>
    </w:p>
    <w:p>
      <w:pPr>
        <w:pStyle w:val="Heading3"/>
        <w:spacing w:after="60" w:before="160"/>
      </w:pPr>
      <w:r>
        <w:rPr>
          <w:rFonts w:ascii="MS Gothic" w:cs="MS Gothic" w:eastAsia="MS Gothic" w:hAnsi="MS Gothic"/>
          <w:b/>
          <w:bCs/>
          <w:color w:val="2E75B6"/>
          <w:sz w:val="22"/>
          <w:szCs w:val="22"/>
        </w:rPr>
        <w:t xml:space="preserve">4.3.2 接続・クエリ最適化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接続プーリング</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EF Core + Azure SQL DatabaseはADO.NETの接続プーリングを自動使用する。接続文字列のMin Pool Size / Max Pool Sizeを適切に設定し、接続生成コストを削減する。Managed Identity（DefaultAzureCredential）経由の認証を使用するため、トークン取得のオーバーヘッドを考慮した設定とする（TokenCredentialによる接続はSQL認証より若干オーバーヘッドが大きいため、接続プールの有効活用が重要）。</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EF CoreのNoTracking</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参照系クエリ（SELECT）にはAsNoTracking()を付与し、EF Coreの変更追跡オーバーヘッドを排除する。変更追跡が不要な読み取り専用クエリ（一覧表示・帳票データ取得等）は全てAsNoTracking()を適用することをコーディング規約として定める。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一括更新（Bulk Operation）</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月次バッチ処理等で大量レコードを更新する場合、EF Coreの1件ずつSaveChangesは使用しない。EF Core 8以降のExecuteUpdateAsync / ExecuteDeleteAsyncまたはBulk Insert用ライブラリを検討し、DB往復回数を最小化する。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コンパイル済みクエリ</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同一クエリを繰り返し実行する処理（月次ループ処理等）にはEF Coreのコンパイル済みクエリ（Compiled Queries）を適用し、クエリ翻訳コストを削減する。</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4.4 インフラ・ミドルウェア性能設計</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IISアプリケーションプール設定</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Pool_Frontend（Angular静的ファイル）とPool_API（.NET 10 Web API）を分離する。Pool_APIはリサイクル設定（定期リサイクル）を業務時間外（深夜帯）に設定し、業務時間中のリサイクルによる瞬断を防止する。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IIS静的ファイルキャッシュ</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IISのOutput CachingをAngular静的ファイル（JS/CSS/画像）に適用する。コンテントハッシュ付きファイル名は長期キャッシュ（max-age=31536000）、index.htmlはキャッシュ無効（no-store）に設定する。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Azure VMのスペック設定</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Windows Server 2025 Datacenter Azure Edition（Hotpatch対応）の採用により、月次パッチ適用時の再起動頻度を削減する。VM SKUは初期設定でスループット要件を満たすものを選定し、CPU/メモリ使用率が閾値（CPU：70%、メモリ：80%）を超えた場合にAzure Monitorアラートで通知する。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Azure Blob Storageアクセス最適化</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Blob StorageへのアクセスはVM内部からAzureプライベートエンドポイント経由で行い、インターネット経由のレイテンシを排除する。ファイルアップロード時はストリーミングアップロードを使用し、メモリへの全量展開を避け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Serilogログ設計（性能への影響最小化）</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本番環境のログ出力レベルはInformation以上とし、Debug・Verboseレベルのログは本番で出力しない。GovSystemLogDBへのDB直接書き込みは廃止し、ファイル出力のみとする。AMA（Azure Monitor Agent）がログファイルを収集しLog Analytics Workspaceに送信する設計により、アプリケーションからDBへの同期書き込みオーバーヘッドをゼロとする。</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4.5 外部連携・バッチ処理性能設計</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設計内容・方針</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OCR連携CSV取り込みの非同期処理</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AnyForm OCRが出力したCSVファイルをAzCopy経由でAzure Blob（csv-import/）に格納後、.NET BackgroundServiceが非同期で検知・処理する。CsvHelperを使用した行単位ストリーミングパースにより、大容量CSVをメモリに全量展開せずに処理する。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財務会計システムとのSFTP連携</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HOSYO.csv / KAISYU.csvのアウトバウンド送信とNYUKIN.csvのインバウンド受信は業務時間外（深夜バッチ）に実行する。転送中のリトライロジック（最大3回）を設けることで転送失敗時の自動復旧を行う。</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月次バッチの実行時間管理</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月次処理（保証料計算・統計資料・前受収益計算書等）はBackgroundServiceとして深夜帯（例：毎月1日 02:00）に実行する。処理開始・終了時刻をSerilogに記録し、30分超過の場合はAzure Monitor Alertで翌朝通知する。</w:t>
            </w:r>
          </w:p>
        </w:tc>
      </w:tr>
    </w:tbl>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5. 性能テスト計画</w:t>
      </w:r>
    </w:p>
    <w:p>
      <w:pPr>
        <w:spacing w:after="60" w:before="4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5.1 テスト種別・目的</w:t>
      </w:r>
    </w:p>
    <w:p>
      <w:pPr>
        <w:spacing w:after="60" w:before="40"/>
        <w:ind/>
        <w:jc w:val="center"/>
      </w:pPr>
      <w:r>
        <w:rPr>
          <w:rFonts w:ascii="MS Gothic" w:cs="MS Gothic" w:eastAsia="MS Gothic" w:hAnsi="MS Gothic"/>
          <w:b w:val="false"/>
          <w:bCs w:val="false"/>
          <w:color w:val="000000"/>
          <w:sz w:val="18"/>
          <w:szCs w:val="18"/>
        </w:rPr>
        <w:t xml:space="preserve">表 5-1　性能テスト種別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3526"/>
      </w:tblGrid>
      <w:tr>
        <w:tc>
          <w:tcPr>
            <w:tcW w:type="dxa" w:w="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No.</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テスト種別</w:t>
            </w:r>
          </w:p>
        </w:tc>
        <w:tc>
          <w:tcPr>
            <w:tcW w:type="dxa" w:w="3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目的</w:t>
            </w:r>
          </w:p>
        </w:tc>
        <w:tc>
          <w:tcPr>
            <w:tcW w:type="dxa" w:w="35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実施タイミング</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ベースライン性能テスト</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通常負荷（1〜3名程度）での応答時間を計測し、全処理が目標値の50%以内で完了することを確認する。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結合テスト完了後（初回計測）</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負荷テスト（Load Test）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想定最大同時接続数（40名）での応答時間が全目標値内であることを確認する。性能ボトルネックを特定する。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システムテスト（本番リリース前）</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3</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耐久テスト（Endurance Test）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8時間以上の継続負荷下でのメモリリーク・接続プール枯渇・応答時間劣化がないことを確認する。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システムテスト（リリース前）</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4</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スパイクテスト</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業務開始時（9:00）の突発的な同時ログイン（最大40名）に対して、応答時間が許容範囲内であることを確認する。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システムテスト（リリース前）</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5</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帳票性能テスト</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Excel（ExcelCreator v12）・PDF（ActiveReports v20）の帳票生成処理が10秒以内に完了することを確認する。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結合テスト完了後</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6</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外部API性能テスト</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格付判定システムとのAPI連携（VNet間通信）での本システム側応答処理が5秒以内に完了することを確認する。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外部連携テスト実施時</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5.2 テスト環境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内容</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テスト環境</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JAFFICクラウド上の検証環境（本番環境と同等スペックのVM・Azure SQL Database・Blob Storageを使用）。本番環境と同等の構成でテストを実施することを原則とする。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測定ツール</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負荷テストツール：Apache JMeter（またはk6等、信用基金が指定するツール）。端末側応答時間計測：ブラウザ開発者ツール（Network/Performance タブ）またはSeleniumベースの自動計測スクリプト。★ 測定ツールの選定は信用基金と合意の上決定する。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測定端末</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信用基金指定の端末2台以上に測定ツールをインストールし、VPN経由でのエンドツーエンド応答時間を計測する。仮想端末・Dockerコンテナでの代替は不可（実端末での計測を原則とする）。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ネットワーク条件</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VPN（IPsec）経由の実回線での計測を原則とする。テスト実施中のバックグラウンドトラフィックは最小化し、測定値への影響を排除する。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データ量</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性能テスト用に本番相当のデータ量を用意する。各主要テーブルは本番稼働後1〜2年分相当のデータ件数を投入した状態でテストを実施する。★ テストデータ量は本番データ量の見積もりと合わせて信用基金と合意の上決定する。</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5.3 テストシナリオ（主要画面）</w:t>
      </w:r>
    </w:p>
    <w:p>
      <w:pPr>
        <w:spacing w:after="60" w:before="60"/>
        <w:ind/>
        <w:jc w:val="left"/>
      </w:pPr>
      <w:r>
        <w:rPr>
          <w:rFonts w:ascii="MS Gothic" w:cs="MS Gothic" w:eastAsia="MS Gothic" w:hAnsi="MS Gothic"/>
          <w:b w:val="false"/>
          <w:bCs w:val="false"/>
          <w:color w:val="000000"/>
          <w:sz w:val="20"/>
          <w:szCs w:val="20"/>
        </w:rPr>
        <w:t xml:space="preserve">負荷テスト実施時は以下のシナリオを並行実行し、ピーク時を再現する。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526"/>
      </w:tblGrid>
      <w:tr>
        <w:tc>
          <w:tcPr>
            <w:tcW w:type="dxa" w:w="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No.</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シナリオ名</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操作内容</w:t>
            </w:r>
          </w:p>
        </w:tc>
        <w:tc>
          <w:tcPr>
            <w:tcW w:type="dxa" w:w="35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期待応答時間</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保証審査申込一覧表示</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HOSHO 保証審査一覧画面を開き、検索ボタンを押下する（100件表示）。</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5秒以内（情報検索）</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保証審査申込新規登録</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保証審査申込入力画面から新規データを入力し登録ボタンを押下する。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3秒以内（入力情報登録）</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3</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随時格付実行（外部API連携）</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格付判定システムへのAPI呼び出しを含む格付実行処理を実施する。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5秒以内（外部API）</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4</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求償権管理台帳一覧</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SATEI 求償権管理台帳一覧画面で絞込検索を実行する。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5秒以内（情報検索）</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5</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帳票出力（Excel）</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保証料計算書をExcelCreator v12で生成しブラウザに返却する。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10秒以内（帳票表示）</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帳票出力（PDF）</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保証書をActiveReports v20でPDF生成しブラウザに返却する。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10秒以内（帳票表示）</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7</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画面遷移（サブシステム切替）</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ログイン状態でHOSHOタブからKEIRIタブへ切り替える。Angular Lazy Loading対象。</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3秒以内（画面遷移）</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8</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CSVファイルアップロード</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自己査定結果CSVファイル（5MB以下）をアップロードする。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10秒以内（ファイルUP）</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5.4 測定方法・手順</w:t>
      </w:r>
    </w:p>
    <w:p>
      <w:pPr>
        <w:pStyle w:val="Heading3"/>
        <w:spacing w:after="60" w:before="160"/>
      </w:pPr>
      <w:r>
        <w:rPr>
          <w:rFonts w:ascii="MS Gothic" w:cs="MS Gothic" w:eastAsia="MS Gothic" w:hAnsi="MS Gothic"/>
          <w:b/>
          <w:bCs/>
          <w:color w:val="2E75B6"/>
          <w:sz w:val="22"/>
          <w:szCs w:val="22"/>
        </w:rPr>
        <w:t xml:space="preserve">5.4.1 端末側応答時間の測定</w:t>
      </w:r>
    </w:p>
    <w:p>
      <w:pPr>
        <w:spacing w:after="60" w:before="60"/>
        <w:ind/>
        <w:jc w:val="left"/>
      </w:pPr>
      <w:r>
        <w:rPr>
          <w:rFonts w:ascii="MS Gothic" w:cs="MS Gothic" w:eastAsia="MS Gothic" w:hAnsi="MS Gothic"/>
          <w:b w:val="false"/>
          <w:bCs w:val="false"/>
          <w:color w:val="000000"/>
          <w:sz w:val="20"/>
          <w:szCs w:val="20"/>
        </w:rPr>
        <w:t xml:space="preserve">応答時間の測定はエンドユーザー端末上での「操作開始〜画面コンテンツ完全表示完了までの時間」を基準とする。</w:t>
      </w:r>
    </w:p>
    <w:p>
      <w:pPr>
        <w:pStyle w:val="ListParagraph"/>
        <w:numPr>
          <w:ilvl w:val="0"/>
          <w:numId w:val="2"/>
        </w:numPr>
        <w:spacing w:after="40" w:before="40"/>
      </w:pPr>
      <w:r>
        <w:rPr>
          <w:rFonts w:ascii="MS Gothic" w:cs="MS Gothic" w:eastAsia="MS Gothic" w:hAnsi="MS Gothic"/>
          <w:sz w:val="20"/>
          <w:szCs w:val="20"/>
        </w:rPr>
        <w:t xml:space="preserve">測定対象端末に測定ツール（JMeterスクリプトまたはブラウザ自動化スクリプト）をインストールする。</w:t>
      </w:r>
    </w:p>
    <w:p>
      <w:pPr>
        <w:pStyle w:val="ListParagraph"/>
        <w:numPr>
          <w:ilvl w:val="0"/>
          <w:numId w:val="2"/>
        </w:numPr>
        <w:spacing w:after="40" w:before="40"/>
      </w:pPr>
      <w:r>
        <w:rPr>
          <w:rFonts w:ascii="MS Gothic" w:cs="MS Gothic" w:eastAsia="MS Gothic" w:hAnsi="MS Gothic"/>
          <w:sz w:val="20"/>
          <w:szCs w:val="20"/>
        </w:rPr>
        <w:t xml:space="preserve">ブラウザキャッシュ・Cookieをすべてクリアした状態（コールドスタート）で測定を開始する。</w:t>
      </w:r>
    </w:p>
    <w:p>
      <w:pPr>
        <w:pStyle w:val="ListParagraph"/>
        <w:numPr>
          <w:ilvl w:val="0"/>
          <w:numId w:val="2"/>
        </w:numPr>
        <w:spacing w:after="40" w:before="40"/>
      </w:pPr>
      <w:r>
        <w:rPr>
          <w:rFonts w:ascii="MS Gothic" w:cs="MS Gothic" w:eastAsia="MS Gothic" w:hAnsi="MS Gothic"/>
          <w:sz w:val="20"/>
          <w:szCs w:val="20"/>
        </w:rPr>
        <w:t xml:space="preserve">各シナリオを10回以上実行し、最大値・最小値・平均値・95パーセンタイル値を記録する。</w:t>
      </w:r>
    </w:p>
    <w:p>
      <w:pPr>
        <w:pStyle w:val="ListParagraph"/>
        <w:numPr>
          <w:ilvl w:val="0"/>
          <w:numId w:val="2"/>
        </w:numPr>
        <w:spacing w:after="40" w:before="40"/>
      </w:pPr>
      <w:r>
        <w:rPr>
          <w:rFonts w:ascii="MS Gothic" w:cs="MS Gothic" w:eastAsia="MS Gothic" w:hAnsi="MS Gothic"/>
          <w:sz w:val="20"/>
          <w:szCs w:val="20"/>
        </w:rPr>
        <w:t xml:space="preserve">キャッシュ効果により応答時間が短縮されたと思われる測定結果（前回比50%以上改善等）は対象外とし、再計測を行う。</w:t>
      </w:r>
    </w:p>
    <w:p>
      <w:pPr>
        <w:pStyle w:val="ListParagraph"/>
        <w:numPr>
          <w:ilvl w:val="0"/>
          <w:numId w:val="2"/>
        </w:numPr>
        <w:spacing w:after="40" w:before="40"/>
      </w:pPr>
      <w:r>
        <w:rPr>
          <w:rFonts w:ascii="MS Gothic" w:cs="MS Gothic" w:eastAsia="MS Gothic" w:hAnsi="MS Gothic"/>
          <w:sz w:val="20"/>
          <w:szCs w:val="20"/>
        </w:rPr>
        <w:t xml:space="preserve">ピーク時を想定した同時実行（仮想ユーザー数：40）での計測値を性能目標値と照合する。</w:t>
      </w:r>
    </w:p>
    <w:p>
      <w:pPr>
        <w:spacing w:after="60" w:before="60"/>
      </w:pPr>
      <w:r>
        <w:t xml:space="preserve"/>
      </w:r>
    </w:p>
    <w:p>
      <w:pPr>
        <w:pStyle w:val="Heading3"/>
        <w:spacing w:after="60" w:before="160"/>
      </w:pPr>
      <w:r>
        <w:rPr>
          <w:rFonts w:ascii="MS Gothic" w:cs="MS Gothic" w:eastAsia="MS Gothic" w:hAnsi="MS Gothic"/>
          <w:b/>
          <w:bCs/>
          <w:color w:val="2E75B6"/>
          <w:sz w:val="22"/>
          <w:szCs w:val="22"/>
        </w:rPr>
        <w:t xml:space="preserve">5.4.2 サーバーサイド計測（補助）</w:t>
      </w:r>
    </w:p>
    <w:p>
      <w:pPr>
        <w:spacing w:after="60" w:before="60"/>
        <w:ind/>
        <w:jc w:val="left"/>
      </w:pPr>
      <w:r>
        <w:rPr>
          <w:rFonts w:ascii="MS Gothic" w:cs="MS Gothic" w:eastAsia="MS Gothic" w:hAnsi="MS Gothic"/>
          <w:b w:val="false"/>
          <w:bCs w:val="false"/>
          <w:color w:val="000000"/>
          <w:sz w:val="20"/>
          <w:szCs w:val="20"/>
        </w:rPr>
        <w:t xml:space="preserve">APM（Application Performance Monitoring）的な観点でサーバーサイドメトリクスも補助的に計測する。</w:t>
      </w:r>
    </w:p>
    <w:p>
      <w:pPr>
        <w:pStyle w:val="ListParagraph"/>
        <w:numPr>
          <w:ilvl w:val="0"/>
          <w:numId w:val="3"/>
        </w:numPr>
        <w:spacing w:after="40" w:before="40"/>
      </w:pPr>
      <w:r>
        <w:rPr>
          <w:rFonts w:ascii="MS Gothic" w:cs="MS Gothic" w:eastAsia="MS Gothic" w:hAnsi="MS Gothic"/>
          <w:sz w:val="20"/>
          <w:szCs w:val="20"/>
        </w:rPr>
        <w:t xml:space="preserve">Azure MonitorによるVM CPU/メモリ/ディスクI/Oメトリクスの計測（15秒間隔）</w:t>
      </w:r>
    </w:p>
    <w:p>
      <w:pPr>
        <w:pStyle w:val="ListParagraph"/>
        <w:numPr>
          <w:ilvl w:val="0"/>
          <w:numId w:val="3"/>
        </w:numPr>
        <w:spacing w:after="40" w:before="40"/>
      </w:pPr>
      <w:r>
        <w:rPr>
          <w:rFonts w:ascii="MS Gothic" w:cs="MS Gothic" w:eastAsia="MS Gothic" w:hAnsi="MS Gothic"/>
          <w:sz w:val="20"/>
          <w:szCs w:val="20"/>
        </w:rPr>
        <w:t xml:space="preserve">Azure SQL DatabaseのQuery Performance Insight（DTU消費率・上位クエリ応答時間）</w:t>
      </w:r>
    </w:p>
    <w:p>
      <w:pPr>
        <w:pStyle w:val="ListParagraph"/>
        <w:numPr>
          <w:ilvl w:val="0"/>
          <w:numId w:val="3"/>
        </w:numPr>
        <w:spacing w:after="40" w:before="40"/>
      </w:pPr>
      <w:r>
        <w:rPr>
          <w:rFonts w:ascii="MS Gothic" w:cs="MS Gothic" w:eastAsia="MS Gothic" w:hAnsi="MS Gothic"/>
          <w:sz w:val="20"/>
          <w:szCs w:val="20"/>
        </w:rPr>
        <w:t xml:space="preserve">Serilogのリクエストログによるサーバー処理時間（Elapsed Time）の集計</w:t>
      </w:r>
    </w:p>
    <w:p>
      <w:pPr>
        <w:pStyle w:val="ListParagraph"/>
        <w:numPr>
          <w:ilvl w:val="0"/>
          <w:numId w:val="3"/>
        </w:numPr>
        <w:spacing w:after="40" w:before="40"/>
      </w:pPr>
      <w:r>
        <w:rPr>
          <w:rFonts w:ascii="MS Gothic" w:cs="MS Gothic" w:eastAsia="MS Gothic" w:hAnsi="MS Gothic"/>
          <w:sz w:val="20"/>
          <w:szCs w:val="20"/>
        </w:rPr>
        <w:t xml:space="preserve">IISのアクセスログによる各エンドポイントのサーバー処理時間の抽出</w:t>
      </w:r>
    </w:p>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5.5 合否判定基準</w:t>
      </w:r>
    </w:p>
    <w:p>
      <w:pPr>
        <w:spacing w:after="80" w:before="60"/>
        <w:ind/>
        <w:jc w:val="left"/>
      </w:pPr>
      <w:r>
        <w:rPr>
          <w:rFonts w:ascii="MS Gothic" w:cs="MS Gothic" w:eastAsia="MS Gothic" w:hAnsi="MS Gothic"/>
          <w:b w:val="false"/>
          <w:bCs w:val="false"/>
          <w:color w:val="000000"/>
          <w:sz w:val="20"/>
          <w:szCs w:val="20"/>
        </w:rPr>
        <w:t xml:space="preserve">以下の全条件を満たした場合に性能テストを「合格」とする。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3526"/>
      </w:tblGrid>
      <w:tr>
        <w:tc>
          <w:tcPr>
            <w:tcW w:type="dxa" w:w="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No.</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判定条件</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目標値</w:t>
            </w:r>
          </w:p>
        </w:tc>
        <w:tc>
          <w:tcPr>
            <w:tcW w:type="dxa" w:w="35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判定方法</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全シナリオの平均応答時間が目標値以内</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表3-1参照</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測定ツールによる自動集計</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95パーセンタイル応答時間が目標値の1.5倍以内</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目標値×1.5</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測定ツールによる自動集計</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3</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同時接続40名時にエラー率が0.1%以下</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0.1%以下</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JMeterエラー集計</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4</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8時間耐久テスト中に応答時間劣化（開始時比20%超）がない</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劣化20%以内</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時系列グラフによる確認</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5</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8時間耐久テスト後のメモリ使用量が安定（メモリリークなし）</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増加10%以内</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MonitorメモリグラフによるVMメモリ確認</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6</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帳票生成テスト（Excel・PDF）が目標値以内</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10秒以内</w:t>
            </w:r>
          </w:p>
        </w:tc>
        <w:tc>
          <w:tcPr>
            <w:tcW w:type="dxa" w:w="3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端末側ダウンロード完了時間</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5.6 性能テスト結果の報告</w:t>
      </w:r>
    </w:p>
    <w:p>
      <w:pPr>
        <w:spacing w:after="60" w:before="60"/>
        <w:ind/>
        <w:jc w:val="left"/>
      </w:pPr>
      <w:r>
        <w:rPr>
          <w:rFonts w:ascii="MS Gothic" w:cs="MS Gothic" w:eastAsia="MS Gothic" w:hAnsi="MS Gothic"/>
          <w:b w:val="false"/>
          <w:bCs w:val="false"/>
          <w:color w:val="000000"/>
          <w:sz w:val="20"/>
          <w:szCs w:val="20"/>
        </w:rPr>
        <w:t xml:space="preserve">性能テスト完了後、受注者（OKI）は以下の内容を含む「性能テスト結果報告書」を作成し、JAFFICに提出・説明の上、承認を得ること。</w:t>
      </w:r>
    </w:p>
    <w:p>
      <w:pPr>
        <w:pStyle w:val="ListParagraph"/>
        <w:numPr>
          <w:ilvl w:val="0"/>
          <w:numId w:val="3"/>
        </w:numPr>
        <w:spacing w:after="40" w:before="40"/>
      </w:pPr>
      <w:r>
        <w:rPr>
          <w:rFonts w:ascii="MS Gothic" w:cs="MS Gothic" w:eastAsia="MS Gothic" w:hAnsi="MS Gothic"/>
          <w:sz w:val="20"/>
          <w:szCs w:val="20"/>
        </w:rPr>
        <w:t xml:space="preserve">テスト実施環境・測定ツール・測定端末・ネットワーク条件の記録</w:t>
      </w:r>
    </w:p>
    <w:p>
      <w:pPr>
        <w:pStyle w:val="ListParagraph"/>
        <w:numPr>
          <w:ilvl w:val="0"/>
          <w:numId w:val="3"/>
        </w:numPr>
        <w:spacing w:after="40" w:before="40"/>
      </w:pPr>
      <w:r>
        <w:rPr>
          <w:rFonts w:ascii="MS Gothic" w:cs="MS Gothic" w:eastAsia="MS Gothic" w:hAnsi="MS Gothic"/>
          <w:sz w:val="20"/>
          <w:szCs w:val="20"/>
        </w:rPr>
        <w:t xml:space="preserve">各シナリオの測定値一覧（平均・最大・最小・95パーセンタイル）</w:t>
      </w:r>
    </w:p>
    <w:p>
      <w:pPr>
        <w:pStyle w:val="ListParagraph"/>
        <w:numPr>
          <w:ilvl w:val="0"/>
          <w:numId w:val="3"/>
        </w:numPr>
        <w:spacing w:after="40" w:before="40"/>
      </w:pPr>
      <w:r>
        <w:rPr>
          <w:rFonts w:ascii="MS Gothic" w:cs="MS Gothic" w:eastAsia="MS Gothic" w:hAnsi="MS Gothic"/>
          <w:sz w:val="20"/>
          <w:szCs w:val="20"/>
        </w:rPr>
        <w:t xml:space="preserve">目標値との対比表および合否判定結果</w:t>
      </w:r>
    </w:p>
    <w:p>
      <w:pPr>
        <w:pStyle w:val="ListParagraph"/>
        <w:numPr>
          <w:ilvl w:val="0"/>
          <w:numId w:val="3"/>
        </w:numPr>
        <w:spacing w:after="40" w:before="40"/>
      </w:pPr>
      <w:r>
        <w:rPr>
          <w:rFonts w:ascii="MS Gothic" w:cs="MS Gothic" w:eastAsia="MS Gothic" w:hAnsi="MS Gothic"/>
          <w:sz w:val="20"/>
          <w:szCs w:val="20"/>
        </w:rPr>
        <w:t xml:space="preserve">性能ボトルネックが発見された場合の原因分析と対策内容</w:t>
      </w:r>
    </w:p>
    <w:p>
      <w:pPr>
        <w:pStyle w:val="ListParagraph"/>
        <w:numPr>
          <w:ilvl w:val="0"/>
          <w:numId w:val="3"/>
        </w:numPr>
        <w:spacing w:after="40" w:before="40"/>
      </w:pPr>
      <w:r>
        <w:rPr>
          <w:rFonts w:ascii="MS Gothic" w:cs="MS Gothic" w:eastAsia="MS Gothic" w:hAnsi="MS Gothic"/>
          <w:sz w:val="20"/>
          <w:szCs w:val="20"/>
        </w:rPr>
        <w:t xml:space="preserve">耐久テスト時系列グラフ（CPU・メモリ・応答時間）</w:t>
      </w:r>
    </w:p>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6. 本番稼働後の性能監視・運用方針</w:t>
      </w:r>
    </w:p>
    <w:p>
      <w:pPr>
        <w:spacing w:after="60" w:before="4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6.1 継続的性能監視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監視項目</w:t>
            </w:r>
          </w:p>
        </w:tc>
        <w:tc>
          <w:tcPr>
            <w:tcW w:type="dxa" w:w="62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監視方法・閾値・対応</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VM CPU使用率</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Monitorで常時監視。CPU使用率が70%を5分以上継続した場合にアラート通知（メール）を発報する。バースト処理との区別のため、5分平均値を閾値判定に使用する。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VMメモリ使用率</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使用率80%超過を閾値とするアラートを設定する。メモリプレッシャーによる性能劣化を早期検知する。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Azure SQL Database DTU消費率</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DTU消費率が80%超過を5分以上継続した場合にアラート通知する。月次処理バッチ実行中の一時的な高負荷は除外設定を検討する。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Blob Storageレイテンシ</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ファイルアップロード・ダウンロードのエラーレートをAzure Monitor Metricsで監視する。E2Eレイテンシが通常値（ベースライン）の2倍を超えた場合に調査する。</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spacing w:after="60" w:before="60"/>
              <w:jc w:val="left"/>
            </w:pPr>
            <w:r>
              <w:rPr>
                <w:rFonts w:ascii="MS Gothic" w:cs="MS Gothic" w:eastAsia="MS Gothic" w:hAnsi="MS Gothic"/>
                <w:b/>
                <w:bCs/>
                <w:color w:val="000000"/>
                <w:sz w:val="18"/>
                <w:szCs w:val="18"/>
              </w:rPr>
              <w:t xml:space="preserve">アプリケーションエラーログ</w:t>
            </w:r>
          </w:p>
        </w:tc>
        <w:tc>
          <w:tcPr>
            <w:tcW w:type="dxa" w:w="62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Serilogが出力するエラーログをAMA経由でLog Analytics Workspaceに収集する。KQLクエリで1時間あたりErrorレベルログが10件超の場合にアラートを設定する。</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6.2 定期性能レビュー</w:t>
      </w:r>
    </w:p>
    <w:p>
      <w:pPr>
        <w:spacing w:after="60" w:before="60"/>
        <w:ind/>
        <w:jc w:val="left"/>
      </w:pPr>
      <w:r>
        <w:rPr>
          <w:rFonts w:ascii="MS Gothic" w:cs="MS Gothic" w:eastAsia="MS Gothic" w:hAnsi="MS Gothic"/>
          <w:b w:val="false"/>
          <w:bCs w:val="false"/>
          <w:color w:val="000000"/>
          <w:sz w:val="20"/>
          <w:szCs w:val="20"/>
        </w:rPr>
        <w:t xml:space="preserve">本番稼働開始後3か月間は毎月1回、その後は四半期に1回の頻度で性能レビューを実施する。レビューの観点を以下に示す。</w:t>
      </w:r>
    </w:p>
    <w:p>
      <w:pPr>
        <w:pStyle w:val="ListParagraph"/>
        <w:numPr>
          <w:ilvl w:val="0"/>
          <w:numId w:val="3"/>
        </w:numPr>
        <w:spacing w:after="40" w:before="40"/>
      </w:pPr>
      <w:r>
        <w:rPr>
          <w:rFonts w:ascii="MS Gothic" w:cs="MS Gothic" w:eastAsia="MS Gothic" w:hAnsi="MS Gothic"/>
          <w:sz w:val="20"/>
          <w:szCs w:val="20"/>
        </w:rPr>
        <w:t xml:space="preserve">Azure MonitorおよびLog Analytics Workspaceのメトリクス・ログを集計し、応答時間の傾向分析を行う。</w:t>
      </w:r>
    </w:p>
    <w:p>
      <w:pPr>
        <w:pStyle w:val="ListParagraph"/>
        <w:numPr>
          <w:ilvl w:val="0"/>
          <w:numId w:val="3"/>
        </w:numPr>
        <w:spacing w:after="40" w:before="40"/>
      </w:pPr>
      <w:r>
        <w:rPr>
          <w:rFonts w:ascii="MS Gothic" w:cs="MS Gothic" w:eastAsia="MS Gothic" w:hAnsi="MS Gothic"/>
          <w:sz w:val="20"/>
          <w:szCs w:val="20"/>
        </w:rPr>
        <w:t xml:space="preserve">Azure SQL DatabaseのQuery Performance Insightで高コストクエリを特定し、改善余地を評価する。</w:t>
      </w:r>
    </w:p>
    <w:p>
      <w:pPr>
        <w:pStyle w:val="ListParagraph"/>
        <w:numPr>
          <w:ilvl w:val="0"/>
          <w:numId w:val="3"/>
        </w:numPr>
        <w:spacing w:after="40" w:before="40"/>
      </w:pPr>
      <w:r>
        <w:rPr>
          <w:rFonts w:ascii="MS Gothic" w:cs="MS Gothic" w:eastAsia="MS Gothic" w:hAnsi="MS Gothic"/>
          <w:sz w:val="20"/>
          <w:szCs w:val="20"/>
        </w:rPr>
        <w:t xml:space="preserve">データ量の増加（テーブルレコード数の増加傾向）を確認し、インデックスメンテナンス（再構築・再編成）の必要性を判断する。</w:t>
      </w:r>
    </w:p>
    <w:p>
      <w:pPr>
        <w:pStyle w:val="ListParagraph"/>
        <w:numPr>
          <w:ilvl w:val="0"/>
          <w:numId w:val="3"/>
        </w:numPr>
        <w:spacing w:after="40" w:before="40"/>
      </w:pPr>
      <w:r>
        <w:rPr>
          <w:rFonts w:ascii="MS Gothic" w:cs="MS Gothic" w:eastAsia="MS Gothic" w:hAnsi="MS Gothic"/>
          <w:sz w:val="20"/>
          <w:szCs w:val="20"/>
        </w:rPr>
        <w:t xml:space="preserve">ユーザーからの性能に関するフィードバック（問い合わせ・不満）を集計し、優先的に改善すべき画面・処理を特定する。</w:t>
      </w:r>
    </w:p>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6.3 性能劣化時の対応フロー</w:t>
      </w:r>
    </w:p>
    <w:p>
      <w:pPr>
        <w:spacing w:after="60" w:before="60"/>
        <w:ind/>
        <w:jc w:val="left"/>
      </w:pPr>
      <w:r>
        <w:rPr>
          <w:rFonts w:ascii="MS Gothic" w:cs="MS Gothic" w:eastAsia="MS Gothic" w:hAnsi="MS Gothic"/>
          <w:b w:val="false"/>
          <w:bCs w:val="false"/>
          <w:color w:val="000000"/>
          <w:sz w:val="20"/>
          <w:szCs w:val="20"/>
        </w:rPr>
        <w:t xml:space="preserve">性能監視のアラート発報時または利用者からの性能低下報告時は、以下の対応フローに従う。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Step</w:t>
            </w:r>
          </w:p>
        </w:tc>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アクション</w:t>
            </w:r>
          </w:p>
        </w:tc>
        <w:tc>
          <w:tcPr>
            <w:tcW w:type="dxa" w:w="6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内容</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初動確認</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MonitorダッシュボードでVM・DB・Blobのメトリクスを確認し、ハードウェアリソースの逼迫か、アプリケーション層の問題かを切り分ける。</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ログ分析</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Log Analytics WorkspaceでKQLクエリを実行し、エラーログ・スロークエリ・例外多発を確認する。Serilogの業務ログで特定画面・操作に集中していないかを確認する。</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3</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クエリ分析</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SQL DatabaseのQuery Performance Insightで上位消費クエリを確認し、インデックス不足・フルスキャン・N+1問題等を特定する。</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4</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暫定対処</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緊急性の高い場合はIISアプリプールのリサイクル・VM再起動等の暫定対処を行い、ユーザーへの影響を最小化する。</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5</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恒久対策</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原因分析の結果に基づき、インデックス追加・クエリ最適化・コード修正・VM SKUアップグレード等の恒久対策を検討・実施する。変更内容はJAFFICに報告する。</w:t>
            </w:r>
          </w:p>
        </w:tc>
      </w:tr>
    </w:tbl>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7. 未確定事項（要顧客確認）</w:t>
      </w:r>
    </w:p>
    <w:p>
      <w:pPr>
        <w:spacing w:after="80" w:before="80"/>
        <w:ind/>
        <w:jc w:val="left"/>
      </w:pPr>
      <w:r>
        <w:rPr>
          <w:rFonts w:ascii="MS Gothic" w:cs="MS Gothic" w:eastAsia="MS Gothic" w:hAnsi="MS Gothic"/>
          <w:b w:val="false"/>
          <w:bCs w:val="false"/>
          <w:color w:val="000000"/>
          <w:sz w:val="20"/>
          <w:szCs w:val="20"/>
        </w:rPr>
        <w:t xml:space="preserve">以下の項目は性能設計に影響を与える可能性があるため、JAFFICとの合意・確認が必要である。★印は本設計書に影響する優先確認事項を示す。</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800"/>
        <w:gridCol w:w="2526"/>
      </w:tblGrid>
      <w:tr>
        <w:tc>
          <w:tcPr>
            <w:tcW w:type="dxa" w:w="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No.</w:t>
            </w:r>
          </w:p>
        </w:tc>
        <w:tc>
          <w:tcPr>
            <w:tcW w:type="dxa" w:w="3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確認事項</w:t>
            </w:r>
          </w:p>
        </w:tc>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現在の想定</w:t>
            </w:r>
          </w:p>
        </w:tc>
        <w:tc>
          <w:tcPr>
            <w:tcW w:type="dxa" w:w="25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確認ポイント</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1</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性能テスト用測定ツールの指定</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Apache JMeter または k6 を想定</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信用基金指定ツールがある場合はそちらを優先使用する。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2</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業務時間の定義（稼働率算定基準）</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平日9:00〜18:00を業務時間と想定</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土日祝日の稼働要否・年次クローズ日の扱いを確認する。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3</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 テストデータ量（本番相当データ件数）</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1〜2年分相当を想定</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主要テーブルの想定データ件数を旧システムの実績値から見積もる。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4</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Azure SQL Database の接続上限・DTUプラン</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Standard / General Purpose を想定。DTU上限はJAFFIC基盤方針に依存。★要確認</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JAFFIC基盤事業者に接続数上限・推奨SKUを確認する。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5</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RTO / RPO の具体的要件</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RTO：4時間 / RPO：24時間を想定</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業務要件から許容停止時間・データ損失許容範囲を確認し、バックアップ設計に反映する。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6</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月次バッチ処理の実行スケジュール</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毎月1日深夜02:00を想定</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実際の実行スケジュール・完了期限・エラー時の再実行ルールを確認する。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7</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VPN回線帯域幅</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基幹LAN ↔ AzureのIPsec-VPN回線帯域は不明</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JAFFIC基盤事業者に実効帯域を確認し、ネットワーク遅延の性能目標値への影響を評価する。</w:t>
            </w:r>
          </w:p>
        </w:tc>
      </w:tr>
      <w:tr>
        <w:tc>
          <w:tcPr>
            <w:tcW w:type="dxa" w:w="5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8</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Log Analytics Workspaceのデータ保持期間・費用</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デフォルト（30日）を想定</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監査要件に応じた保持期間と費用負担を確認する。</w:t>
            </w:r>
          </w:p>
        </w:tc>
      </w:tr>
    </w:tbl>
    <w:p>
      <w:r>
        <w:br w:type="page"/>
      </w:r>
    </w:p>
    <w:p>
      <w:pPr>
        <w:pStyle w:val="Heading1"/>
        <w:shd w:fill="1F3864" w:val="clear"/>
        <w:spacing w:after="120" w:before="240"/>
        <w:ind w:left="120" w:right="120"/>
      </w:pPr>
      <w:r>
        <w:rPr>
          <w:rFonts w:ascii="MS Gothic" w:cs="MS Gothic" w:eastAsia="MS Gothic" w:hAnsi="MS Gothic"/>
          <w:b/>
          <w:bCs/>
          <w:color w:val="FFFFFF"/>
          <w:sz w:val="28"/>
          <w:szCs w:val="28"/>
        </w:rPr>
        <w:t xml:space="preserve">8. 付録</w:t>
      </w:r>
    </w:p>
    <w:p>
      <w:pPr>
        <w:spacing w:after="60" w:before="4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8.1 性能設計方針サマリー</w:t>
      </w:r>
    </w:p>
    <w:p>
      <w:pPr>
        <w:spacing w:after="60" w:before="40"/>
        <w:ind/>
        <w:jc w:val="center"/>
      </w:pPr>
      <w:r>
        <w:rPr>
          <w:rFonts w:ascii="MS Gothic" w:cs="MS Gothic" w:eastAsia="MS Gothic" w:hAnsi="MS Gothic"/>
          <w:b w:val="false"/>
          <w:bCs w:val="false"/>
          <w:color w:val="000000"/>
          <w:sz w:val="18"/>
          <w:szCs w:val="18"/>
        </w:rPr>
        <w:t xml:space="preserve">表 8-1　性能設計方針の一覧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層</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設計項目</w:t>
            </w:r>
          </w:p>
        </w:tc>
        <w:tc>
          <w:tcPr>
            <w:tcW w:type="dxa" w:w="6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方針</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フロント</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遅延読み込み</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サブシステム単位のLazy Loadingでバンドル分割</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フロント</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仮想スクロール</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大量一覧表示にVirtualScrollViewportを使用</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フロント</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OnPush変更検知</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不要なDOM更新を排除し描画性能を維持</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フロント</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gzip圧縮</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IIS側でJavaScript / CSSにgzip圧縮を適用</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バックエンド</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全面async/await</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I/O待機によるスレッドブロッキングを排除</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バックエンド</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マスターキャッシュ</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IMemoryCacheでコードマスタ等を30分キャッシュ</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バックエンド</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帳票ストリーミング</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MemoryStream→FileContentResultで中間ファイルなし</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バックエンド</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Pollyリトライ</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外部APIタイムアウト設定でスレッドプール枯渇を防止</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DB</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適切なインデックス</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検索列・外部キー列へのインデックス付与。実行計画確認</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DB</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AsNoTracking</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参照系クエリに変更追跡なしを適用</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DB</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SELECT射影</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ProjectTo&lt;T&gt;()で必要列のみ取得し転送量を削減</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DB</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N+1排除</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Include / EagerLoadingでクエリ数を最小化</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bCs/>
                <w:color w:val="000000"/>
                <w:sz w:val="18"/>
                <w:szCs w:val="18"/>
              </w:rPr>
              <w:t xml:space="preserve">インフラ</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IISキャッシュ</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静的ファイルを長期キャッシュ設定</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インフラ</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Serilogファイル出力</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DB書き込み廃止・ファイル出力+AMAコレクションでログ性能影響ゼロ</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center"/>
            </w:pPr>
            <w:r>
              <w:rPr>
                <w:rFonts w:ascii="MS Gothic" w:cs="MS Gothic" w:eastAsia="MS Gothic" w:hAnsi="MS Gothic"/>
                <w:b w:val="false"/>
                <w:bCs w:val="false"/>
                <w:color w:val="000000"/>
                <w:sz w:val="18"/>
                <w:szCs w:val="18"/>
              </w:rPr>
              <w:t xml:space="preserve">インフラ</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Hotpatch VM</w:t>
            </w:r>
          </w:p>
        </w:tc>
        <w:tc>
          <w:tcPr>
            <w:tcW w:type="dxa" w:w="6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Windows Server 2025 Azure Edition採用でパッチ再起動頻度削減</w:t>
            </w:r>
          </w:p>
        </w:tc>
      </w:tr>
    </w:tbl>
    <w:p>
      <w:pPr>
        <w:spacing w:after="60" w:before="80"/>
      </w:pPr>
      <w:r>
        <w:t xml:space="preserve"/>
      </w:r>
    </w:p>
    <w:p>
      <w:pPr>
        <w:pStyle w:val="Heading2"/>
        <w:pBdr>
          <w:bottom w:val="single" w:color="2E75B6" w:sz="6"/>
        </w:pBdr>
        <w:spacing w:after="80" w:before="200"/>
      </w:pPr>
      <w:r>
        <w:rPr>
          <w:rFonts w:ascii="MS Gothic" w:cs="MS Gothic" w:eastAsia="MS Gothic" w:hAnsi="MS Gothic"/>
          <w:b/>
          <w:bCs/>
          <w:color w:val="1F3864"/>
          <w:sz w:val="24"/>
          <w:szCs w:val="24"/>
        </w:rPr>
        <w:t xml:space="preserve">8.2 関連文書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文書ID</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文書名</w:t>
            </w:r>
          </w:p>
        </w:tc>
        <w:tc>
          <w:tcPr>
            <w:tcW w:type="dxa" w:w="4026"/>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spacing w:after="60" w:before="60"/>
              <w:jc w:val="center"/>
            </w:pPr>
            <w:r>
              <w:rPr>
                <w:rFonts w:ascii="MS Gothic" w:cs="MS Gothic" w:eastAsia="MS Gothic" w:hAnsi="MS Gothic"/>
                <w:b/>
                <w:bCs/>
                <w:color w:val="FFFFFF"/>
                <w:sz w:val="18"/>
                <w:szCs w:val="18"/>
              </w:rPr>
              <w:t xml:space="preserve">備考</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GS-DD-006</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例外処理設計書</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ExceptionHandlerMiddleware / ErrorInterceptor</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GS-DD-CH05</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ログ出力方式設計書</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Serilog・AMA・Log Analytics設計</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GS-DD-CH09</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DBアクセス方式設計書</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EF Core・Repository・UnitOfWork設計</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GS-DD-CH10</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ファイルアップロード／ダウンロード設計書</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Blob Storage・BackgroundService・CsvHelper</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GS-DD-CH12</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帳票出力設計書</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ExcelCreator v12・ActiveReports v20</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GS-DD-CH15</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リクエスト・レスポンス処理設計書</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ApiResponse&lt;T&gt;・ServiceResult&lt;T&gt;・通知パターン</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GS-IF-EXT-001</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外部IF設計書（格付判定システム）</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VNet間VPN・OAuth2.0 Client Credentials</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GS-IF-EXT-002</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外部IF設計書（財務会計システム）</w:t>
            </w:r>
          </w:p>
        </w:tc>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60" w:before="60"/>
              <w:jc w:val="left"/>
            </w:pPr>
            <w:r>
              <w:rPr>
                <w:rFonts w:ascii="MS Gothic" w:cs="MS Gothic" w:eastAsia="MS Gothic" w:hAnsi="MS Gothic"/>
                <w:b w:val="false"/>
                <w:bCs w:val="false"/>
                <w:color w:val="000000"/>
                <w:sz w:val="18"/>
                <w:szCs w:val="18"/>
              </w:rPr>
              <w:t xml:space="preserve">SFTPファイル連携</w:t>
            </w:r>
          </w:p>
        </w:tc>
      </w:tr>
    </w:tbl>
    <w:p>
      <w:pPr>
        <w:spacing w:after="60" w:before="40"/>
      </w:pPr>
      <w:r>
        <w:t xml:space="preserve"/>
      </w:r>
    </w:p>
    <w:p>
      <w:pPr>
        <w:spacing w:after="0" w:before="160"/>
        <w:ind/>
        <w:jc w:val="right"/>
      </w:pPr>
      <w:r>
        <w:rPr>
          <w:rFonts w:ascii="MS Gothic" w:cs="MS Gothic" w:eastAsia="MS Gothic" w:hAnsi="MS Gothic"/>
          <w:b w:val="false"/>
          <w:bCs w:val="false"/>
          <w:color w:val="000000"/>
          <w:sz w:val="20"/>
          <w:szCs w:val="20"/>
        </w:rPr>
        <w:t xml:space="preserve">以上</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026"/>
      </w:tabs>
      <w:spacing w:after="0" w:before="80"/>
    </w:pPr>
    <w:r>
      <w:rPr>
        <w:rFonts w:ascii="MS Gothic" w:cs="MS Gothic" w:eastAsia="MS Gothic" w:hAnsi="MS Gothic"/>
        <w:color w:val="595959"/>
        <w:sz w:val="16"/>
        <w:szCs w:val="16"/>
      </w:rPr>
      <w:t xml:space="preserve">OKI　秘 — 社外秘</w:t>
    </w:r>
    <w:r>
      <w:rPr>
        <w:sz w:val="16"/>
        <w:szCs w:val="16"/>
      </w:rPr>
      <w:t xml:space="preserve">	</w:t>
    </w:r>
    <w:r>
      <w:rPr>
        <w:rFonts w:ascii="MS Gothic" w:cs="MS Gothic" w:eastAsia="MS Gothic" w:hAnsi="MS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before="0"/>
      <w:jc w:val="right"/>
    </w:pPr>
    <w:r>
      <w:rPr>
        <w:rFonts w:ascii="MS Gothic" w:cs="MS Gothic" w:eastAsia="MS Gothic" w:hAnsi="MS Gothic"/>
        <w:color w:val="595959"/>
        <w:sz w:val="16"/>
        <w:szCs w:val="16"/>
      </w:rPr>
      <w:t xml:space="preserve">林業信用基金基幹システム　性能設計書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abstractNum w:abstractNumId="4" w15:restartNumberingAfterBreak="0">
    <w:multiLevelType w:val="hybridMultilevel"/>
    <w:lvl w:ilvl="0" w15:tentative="1">
      <w:start w:val="1"/>
      <w:numFmt w:val="upperLetter"/>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MS Gothic" w:cs="MS Gothic" w:eastAsia="MS Gothic" w:hAnsi="MS Gothic"/>
      <w:b/>
      <w:bCs/>
      <w:color w:val="FFFFFF"/>
      <w:sz w:val="28"/>
      <w:szCs w:val="28"/>
    </w:rPr>
  </w:style>
  <w:style w:type="paragraph" w:styleId="Heading2">
    <w:name w:val="Heading 2"/>
    <w:basedOn w:val="Normal"/>
    <w:next w:val="Normal"/>
    <w:qFormat/>
    <w:pPr>
      <w:spacing w:after="80" w:before="200"/>
      <w:outlineLvl w:val="1"/>
    </w:pPr>
    <w:rPr>
      <w:rFonts w:ascii="MS Gothic" w:cs="MS Gothic" w:eastAsia="MS Gothic" w:hAnsi="MS Gothic"/>
      <w:b/>
      <w:bCs/>
      <w:color w:val="1F3864"/>
      <w:sz w:val="24"/>
      <w:szCs w:val="24"/>
    </w:rPr>
  </w:style>
  <w:style w:type="paragraph" w:styleId="Heading3">
    <w:name w:val="Heading 3"/>
    <w:basedOn w:val="Normal"/>
    <w:next w:val="Normal"/>
    <w:qFormat/>
    <w:pPr>
      <w:spacing w:after="60" w:before="160"/>
      <w:outlineLvl w:val="2"/>
    </w:pPr>
    <w:rPr>
      <w:rFonts w:ascii="MS Gothic" w:cs="MS Gothic" w:eastAsia="MS Gothic" w:hAnsi="MS Gothic"/>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2026-04-14T00:54:25.374Z</dcterms:created>
  <dcterms:modified xsi:type="dcterms:W3CDTF">2026-04-14T00:54:25.376Z</dcterms:modified>
</cp:coreProperties>
</file>

<file path=docProps/custom.xml><?xml version="1.0" encoding="utf-8"?>
<Properties xmlns="http://schemas.openxmlformats.org/officeDocument/2006/custom-properties" xmlns:vt="http://schemas.openxmlformats.org/officeDocument/2006/docPropsVTypes"/>
</file>