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jc w:val="center"/>
        <w:spacing w:before="0" w:after="120"/>
      </w:pPr>
      <w:r>
        <w:rPr>
          <w:rFonts w:eastAsia="MS ゴシック" w:ascii="MS ゴシック" w:hAnsi="MS ゴシック"/>
          <w:rFonts w:ascii="MS ゴシック" w:hAnsi="MS ゴシック"/>
          <w:b w:val="0"/>
          <w:color w:val="1F4E79"/>
          <w:sz w:val="28"/>
        </w:rPr>
        <w:t>林業信用基金基幹システム移行プロジェクト</w:t>
      </w:r>
    </w:p>
    <w:p>
      <w:pPr>
        <w:jc w:val="center"/>
        <w:spacing w:before="120" w:after="120"/>
        <w:pBdr>
          <w:top w:val="single" w:sz="12" w:space="1" w:color="1F4E79"/>
          <w:bottom w:val="single" w:sz="12" w:space="1" w:color="1F4E79"/>
        </w:pBdr>
      </w:pPr>
      <w:r>
        <w:rPr>
          <w:rFonts w:eastAsia="MS ゴシック" w:ascii="MS ゴシック" w:hAnsi="MS ゴシック"/>
          <w:rFonts w:ascii="MS ゴシック" w:hAnsi="MS ゴシック"/>
          <w:b/>
          <w:color w:val="1F4E79"/>
          <w:sz w:val="56"/>
        </w:rPr>
        <w:t>拡張性設計書</w:t>
      </w:r>
    </w:p>
    <w:p>
      <w:pPr>
        <w:jc w:val="center"/>
        <w:spacing w:before="60" w:after="40"/>
      </w:pPr>
      <w:r>
        <w:rPr>
          <w:rFonts w:eastAsia="MS 明朝" w:ascii="MS 明朝" w:hAnsi="MS 明朝"/>
          <w:rFonts w:ascii="MS 明朝" w:hAnsi="MS 明朝"/>
          <w:b w:val="0"/>
          <w:color w:val="595959"/>
          <w:sz w:val="22"/>
        </w:rPr>
        <w:t>（オンラインアプリケーション基本設計書 別冊）</w:t>
      </w:r>
    </w:p>
    <w:p>
      <w:pPr>
        <w:spacing w:before="1200" w:after="0"/>
      </w:pPr>
    </w:p>
    <w:tbl>
      <w:tblPr>
        <w:tblW w:type="auto" w:w="0"/>
        <w:tblLook w:firstColumn="1" w:firstRow="1" w:lastColumn="0" w:lastRow="0" w:noHBand="0" w:noVBand="1" w:val="04A0"/>
        <w:tblW w:w="5670" w:type="dxa"/>
      </w:tblPr>
      <w:tblGrid>
        <w:gridCol w:w="1984"/>
        <w:gridCol w:w="3685"/>
      </w:tblGrid>
      <w:tblGrid>
        <w:gridCol w:w="4677"/>
        <w:gridCol w:w="4677"/>
      </w:tblGrid>
      <w:tr>
        <w:tc>
          <w:tcPr>
            <w:tcW w:type="dxa" w:w="4677"/>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color w:val="000000"/>
                <w:sz w:val="20"/>
              </w:rPr>
              <w:t>文書番号</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20"/>
              </w:rPr>
              <w:t>RINGYO-DES-EXT-001</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color w:val="000000"/>
                <w:sz w:val="20"/>
              </w:rPr>
              <w:t>版数</w:t>
            </w:r>
          </w:p>
        </w:tc>
        <w:tc>
          <w:tcPr>
            <w:tcW w:type="dxa" w:w="4677"/>
            <w:shd w:val="clear" w:color="auto" w:fill="F5FA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20"/>
              </w:rPr>
              <w:t>v1.0</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color w:val="000000"/>
                <w:sz w:val="20"/>
              </w:rPr>
              <w:t>作成日</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20"/>
              </w:rPr>
              <w:t>20xx年xx月xx日</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color w:val="000000"/>
                <w:sz w:val="20"/>
              </w:rPr>
              <w:t>作成者</w:t>
            </w:r>
          </w:p>
        </w:tc>
        <w:tc>
          <w:tcPr>
            <w:tcW w:type="dxa" w:w="4677"/>
            <w:shd w:val="clear" w:color="auto" w:fill="F5FA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20"/>
              </w:rPr>
              <w:t>OKI</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color w:val="000000"/>
                <w:sz w:val="20"/>
              </w:rPr>
              <w:t>承認者</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20"/>
              </w:rPr>
              <w:t>（未設定）</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color w:val="000000"/>
                <w:sz w:val="20"/>
              </w:rPr>
              <w:t>対象システム</w:t>
            </w:r>
          </w:p>
        </w:tc>
        <w:tc>
          <w:tcPr>
            <w:tcW w:type="dxa" w:w="4677"/>
            <w:shd w:val="clear" w:color="auto" w:fill="F5FA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20"/>
              </w:rPr>
              <w:t>林業信用基金基幹システム（JAFFIC クラウド）</w:t>
            </w:r>
          </w:p>
        </w:tc>
      </w:tr>
    </w:tbl>
    <w:p>
      <w:r>
        <w:br w:type="page"/>
      </w:r>
    </w:p>
    <w:p>
      <w:pPr>
        <w:pStyle w:val="Heading1"/>
        <w:spacing w:before="360" w:after="120"/>
        <w:pBdr>
          <w:bottom w:val="single" w:sz="12" w:space="1" w:color="2E75B6"/>
        </w:pBdr>
      </w:pPr>
      <w:r>
        <w:rPr>
          <w:rFonts w:eastAsia="MS ゴシック" w:ascii="MS ゴシック" w:hAnsi="MS ゴシック"/>
          <w:rFonts w:ascii="MS ゴシック" w:hAnsi="MS ゴシック"/>
          <w:b/>
          <w:color w:val="1F4E79"/>
          <w:sz w:val="26"/>
        </w:rPr>
        <w:t>改訂履歴</w:t>
      </w:r>
    </w:p>
    <w:tbl>
      <w:tblPr>
        <w:tblW w:type="auto" w:w="0"/>
        <w:tblLook w:firstColumn="1" w:firstRow="1" w:lastColumn="0" w:lastRow="0" w:noHBand="0" w:noVBand="1" w:val="04A0"/>
        <w:tblW w:w="9355" w:type="dxa"/>
      </w:tblPr>
      <w:tblGrid>
        <w:gridCol w:w="1417"/>
        <w:gridCol w:w="1417"/>
        <w:gridCol w:w="3118"/>
        <w:gridCol w:w="3402"/>
      </w:tblGrid>
      <w:tblGrid>
        <w:gridCol w:w="2339"/>
        <w:gridCol w:w="2339"/>
        <w:gridCol w:w="2339"/>
        <w:gridCol w:w="2339"/>
      </w:tblGrid>
      <w:tr>
        <w:tc>
          <w:tcPr>
            <w:tcW w:type="dxa" w:w="2339"/>
            <w:shd w:val="clear" w:color="auto" w:fill="1F4E79"/>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版数</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改訂日</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改訂箇所</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改訂内容</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v1.0</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20xx年xx月xx日</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全体</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初版作成</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r>
          </w:p>
        </w:tc>
      </w:tr>
    </w:tbl>
    <w:p>
      <w:pPr>
        <w:spacing w:before="0" w:after="60"/>
      </w:pPr>
    </w:p>
    <w:p>
      <w:r>
        <w:br w:type="page"/>
      </w:r>
    </w:p>
    <w:p>
      <w:pPr>
        <w:pStyle w:val="Heading1"/>
        <w:spacing w:before="360" w:after="120"/>
        <w:pBdr>
          <w:bottom w:val="single" w:sz="12" w:space="1" w:color="2E75B6"/>
        </w:pBdr>
      </w:pPr>
      <w:r>
        <w:rPr>
          <w:rFonts w:eastAsia="MS ゴシック" w:ascii="MS ゴシック" w:hAnsi="MS ゴシック"/>
          <w:rFonts w:ascii="MS ゴシック" w:hAnsi="MS ゴシック"/>
          <w:b/>
          <w:color w:val="1F4E79"/>
          <w:sz w:val="26"/>
        </w:rPr>
        <w:t>1．目的と適用範囲</w:t>
      </w: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1.1　本設計書の目的</w:t>
      </w:r>
    </w:p>
    <w:p>
      <w:pPr>
        <w:spacing w:before="0" w:after="60"/>
      </w:pPr>
      <w:r>
        <w:rPr>
          <w:rFonts w:eastAsia="MS 明朝" w:ascii="MS 明朝" w:hAnsi="MS 明朝"/>
          <w:rFonts w:ascii="MS 明朝" w:hAnsi="MS 明朝"/>
          <w:b w:val="0"/>
          <w:sz w:val="20"/>
        </w:rPr>
        <w:t>本設計書は、林業信用基金基幹システム移行プロジェクト（以下「本システム」）において、システムの性能拡張性および機能拡張性に関する設計方針を定めるものである。</w:t>
      </w:r>
    </w:p>
    <w:p>
      <w:pPr>
        <w:spacing w:before="0" w:after="60"/>
      </w:pPr>
      <w:r>
        <w:rPr>
          <w:rFonts w:eastAsia="MS 明朝" w:ascii="MS 明朝" w:hAnsi="MS 明朝"/>
          <w:rFonts w:ascii="MS 明朝" w:hAnsi="MS 明朝"/>
          <w:b w:val="0"/>
          <w:sz w:val="20"/>
        </w:rPr>
        <w:t>本書は「オンラインアプリケーション基本設計書」の別冊として位置付けられ、要件定義書 3.6「拡張性に関する事項」（3.6.1 性能の拡張性、3.6.2 機能の拡張性）への対応を明示する。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1.2　適用範囲</w:t>
      </w:r>
    </w:p>
    <w:p>
      <w:pPr>
        <w:pStyle w:val="ListBullet"/>
        <w:spacing w:before="20" w:after="40"/>
        <w:ind w:left="480" w:hanging="240"/>
      </w:pPr>
      <w:r>
        <w:rPr>
          <w:rFonts w:eastAsia="MS 明朝" w:ascii="MS 明朝" w:hAnsi="MS 明朝"/>
          <w:rFonts w:ascii="MS 明朝" w:hAnsi="MS 明朝"/>
          <w:b w:val="0"/>
          <w:sz w:val="20"/>
        </w:rPr>
        <w:t>Angular 18 フロントエンド（IIS Root /、Azure VM 上）</w:t>
      </w:r>
    </w:p>
    <w:p>
      <w:pPr>
        <w:pStyle w:val="ListBullet"/>
        <w:spacing w:before="20" w:after="40"/>
        <w:ind w:left="480" w:hanging="240"/>
      </w:pPr>
      <w:r>
        <w:rPr>
          <w:rFonts w:eastAsia="MS 明朝" w:ascii="MS 明朝" w:hAnsi="MS 明朝"/>
          <w:rFonts w:ascii="MS 明朝" w:hAnsi="MS 明朝"/>
          <w:b w:val="0"/>
          <w:sz w:val="20"/>
        </w:rPr>
        <w:t>.NET 10 バックエンド Web API（IIS Sub-App /api、Azure VM 上）</w:t>
      </w:r>
    </w:p>
    <w:p>
      <w:pPr>
        <w:pStyle w:val="ListBullet"/>
        <w:spacing w:before="20" w:after="40"/>
        <w:ind w:left="480" w:hanging="240"/>
      </w:pPr>
      <w:r>
        <w:rPr>
          <w:rFonts w:eastAsia="MS 明朝" w:ascii="MS 明朝" w:hAnsi="MS 明朝"/>
          <w:rFonts w:ascii="MS 明朝" w:hAnsi="MS 明朝"/>
          <w:b w:val="0"/>
          <w:sz w:val="20"/>
        </w:rPr>
        <w:t>Azure SQL Database（業務 DB）</w:t>
      </w:r>
    </w:p>
    <w:p>
      <w:pPr>
        <w:pStyle w:val="ListBullet"/>
        <w:spacing w:before="20" w:after="40"/>
        <w:ind w:left="480" w:hanging="240"/>
      </w:pPr>
      <w:r>
        <w:rPr>
          <w:rFonts w:eastAsia="MS 明朝" w:ascii="MS 明朝" w:hAnsi="MS 明朝"/>
          <w:rFonts w:ascii="MS 明朝" w:hAnsi="MS 明朝"/>
          <w:b w:val="0"/>
          <w:sz w:val="20"/>
        </w:rPr>
        <w:t>Azure Blob Storage（ファイルストレージ）</w:t>
      </w:r>
    </w:p>
    <w:p>
      <w:pPr>
        <w:pStyle w:val="ListBullet"/>
        <w:spacing w:before="20" w:after="40"/>
        <w:ind w:left="480" w:hanging="240"/>
      </w:pPr>
      <w:r>
        <w:rPr>
          <w:rFonts w:eastAsia="MS 明朝" w:ascii="MS 明朝" w:hAnsi="MS 明朝"/>
          <w:rFonts w:ascii="MS 明朝" w:hAnsi="MS 明朝"/>
          <w:b w:val="0"/>
          <w:sz w:val="20"/>
        </w:rPr>
        <w:t>Log Analytics Workspace（ログ・監視基盤）</w:t>
      </w:r>
    </w:p>
    <w:p>
      <w:pPr>
        <w:pStyle w:val="ListBullet"/>
        <w:spacing w:before="20" w:after="40"/>
        <w:ind w:left="480" w:hanging="240"/>
      </w:pPr>
      <w:r>
        <w:rPr>
          <w:rFonts w:eastAsia="MS 明朝" w:ascii="MS 明朝" w:hAnsi="MS 明朝"/>
          <w:rFonts w:ascii="MS 明朝" w:hAnsi="MS 明朝"/>
          <w:b w:val="0"/>
          <w:sz w:val="20"/>
        </w:rPr>
        <w:t>上記を運用する JAFFIC クラウド（Microsoft Azure）上の全インフラリソース</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1.3　関連文書</w:t>
      </w:r>
    </w:p>
    <w:tbl>
      <w:tblPr>
        <w:tblW w:type="auto" w:w="0"/>
        <w:tblLook w:firstColumn="1" w:firstRow="1" w:lastColumn="0" w:lastRow="0" w:noHBand="0" w:noVBand="1" w:val="04A0"/>
        <w:tblW w:w="9355" w:type="dxa"/>
      </w:tblPr>
      <w:tblGrid>
        <w:gridCol w:w="4536"/>
        <w:gridCol w:w="4819"/>
      </w:tblGrid>
      <w:tblGrid>
        <w:gridCol w:w="4677"/>
        <w:gridCol w:w="4677"/>
      </w:tblGrid>
      <w:tr>
        <w:tc>
          <w:tcPr>
            <w:tcW w:type="dxa" w:w="4677"/>
            <w:shd w:val="clear" w:color="auto" w:fill="1F4E79"/>
            <w:tcBorders>
              <w:top w:val="single" w:sz="4" w:space="0" w:color="BFBFBF"/>
              <w:left w:val="single" w:sz="4" w:space="0" w:color="BFBFBF"/>
              <w:bottom w:val="single" w:sz="4" w:space="0" w:color="BFBFBF"/>
              <w:right w:val="single" w:sz="4" w:space="0" w:color="BFBFBF"/>
            </w:tcBorders>
            <w:tcW w:w="4536"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文書名</w:t>
            </w:r>
          </w:p>
        </w:tc>
        <w:tc>
          <w:tcPr>
            <w:tcW w:type="dxa" w:w="4677"/>
            <w:shd w:val="clear" w:color="auto" w:fill="1F4E79"/>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備考</w:t>
            </w:r>
          </w:p>
        </w:tc>
      </w:tr>
      <w:tr>
        <w:tc>
          <w:tcPr>
            <w:tcW w:type="dxa" w:w="4677"/>
            <w:shd w:val="clear" w:color="auto" w:fill="FFFFFF"/>
            <w:tcBorders>
              <w:top w:val="single" w:sz="4" w:space="0" w:color="BFBFBF"/>
              <w:left w:val="single" w:sz="4" w:space="0" w:color="BFBFBF"/>
              <w:bottom w:val="single" w:sz="4" w:space="0" w:color="BFBFBF"/>
              <w:right w:val="single" w:sz="4" w:space="0" w:color="BFBFBF"/>
            </w:tcBorders>
            <w:tcW w:w="4536"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オンラインアプリケーション基本設計書</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本書の親文書</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4536"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インフラ構成設計書</w:t>
            </w:r>
          </w:p>
        </w:tc>
        <w:tc>
          <w:tcPr>
            <w:tcW w:type="dxa" w:w="4677"/>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VM / IIS 構成詳細</w:t>
            </w:r>
          </w:p>
        </w:tc>
      </w:tr>
      <w:tr>
        <w:tc>
          <w:tcPr>
            <w:tcW w:type="dxa" w:w="4677"/>
            <w:shd w:val="clear" w:color="auto" w:fill="FFFFFF"/>
            <w:tcBorders>
              <w:top w:val="single" w:sz="4" w:space="0" w:color="BFBFBF"/>
              <w:left w:val="single" w:sz="4" w:space="0" w:color="BFBFBF"/>
              <w:bottom w:val="single" w:sz="4" w:space="0" w:color="BFBFBF"/>
              <w:right w:val="single" w:sz="4" w:space="0" w:color="BFBFBF"/>
            </w:tcBorders>
            <w:tcW w:w="4536"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性能設計書</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レスポンスタイム目標（画面遷移3秒等）</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4536"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セキュリティ設計書</w:t>
            </w:r>
          </w:p>
        </w:tc>
        <w:tc>
          <w:tcPr>
            <w:tcW w:type="dxa" w:w="4677"/>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Key Vault・Managed Identity 詳細</w:t>
            </w:r>
          </w:p>
        </w:tc>
      </w:tr>
      <w:tr>
        <w:tc>
          <w:tcPr>
            <w:tcW w:type="dxa" w:w="4677"/>
            <w:shd w:val="clear" w:color="auto" w:fill="FFFFFF"/>
            <w:tcBorders>
              <w:top w:val="single" w:sz="4" w:space="0" w:color="BFBFBF"/>
              <w:left w:val="single" w:sz="4" w:space="0" w:color="BFBFBF"/>
              <w:bottom w:val="single" w:sz="4" w:space="0" w:color="BFBFBF"/>
              <w:right w:val="single" w:sz="4" w:space="0" w:color="BFBFBF"/>
            </w:tcBorders>
            <w:tcW w:w="4536"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ログ出力方式設計書（第5章）</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Serilog・Log Analytics 詳細</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4536"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DB アクセス設計書（第9章）</w:t>
            </w:r>
          </w:p>
        </w:tc>
        <w:tc>
          <w:tcPr>
            <w:tcW w:type="dxa" w:w="4677"/>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EF Core / Repository / UnitOfWork</w:t>
            </w:r>
          </w:p>
        </w:tc>
      </w:tr>
    </w:tbl>
    <w:p>
      <w:pPr>
        <w:spacing w:before="0" w:after="60"/>
      </w:pPr>
    </w:p>
    <w:p>
      <w:r>
        <w:br w:type="page"/>
      </w:r>
    </w:p>
    <w:p>
      <w:pPr>
        <w:pStyle w:val="Heading1"/>
        <w:spacing w:before="360" w:after="120"/>
        <w:pBdr>
          <w:bottom w:val="single" w:sz="12" w:space="1" w:color="2E75B6"/>
        </w:pBdr>
      </w:pPr>
      <w:r>
        <w:rPr>
          <w:rFonts w:eastAsia="MS ゴシック" w:ascii="MS ゴシック" w:hAnsi="MS ゴシック"/>
          <w:rFonts w:ascii="MS ゴシック" w:hAnsi="MS ゴシック"/>
          <w:b/>
          <w:color w:val="1F4E79"/>
          <w:sz w:val="26"/>
        </w:rPr>
        <w:t>2．前提条件・システム構成概要</w:t>
      </w: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2.1　システム構成（概要）</w:t>
      </w:r>
    </w:p>
    <w:p>
      <w:pPr>
        <w:spacing w:before="0" w:after="60"/>
      </w:pPr>
      <w:r>
        <w:rPr>
          <w:rFonts w:eastAsia="MS 明朝" w:ascii="MS 明朝" w:hAnsi="MS 明朝"/>
          <w:rFonts w:ascii="MS 明朝" w:hAnsi="MS 明朝"/>
          <w:b w:val="0"/>
          <w:sz w:val="20"/>
        </w:rPr>
        <w:t>本システムは第1段階として Azure VM + IIS を採用する。フロントエンド（Angular 18 静的ファイル）とバックエンド（.NET 10 Web API）を同一 VM 上の IIS に配置することで、Same-Origin 通信を実現する。データベースは Azure SQL Database（VNet 内配置）を使用する。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2.2　前提条件一覧</w:t>
      </w:r>
    </w:p>
    <w:tbl>
      <w:tblPr>
        <w:tblW w:type="auto" w:w="0"/>
        <w:tblLook w:firstColumn="1" w:firstRow="1" w:lastColumn="0" w:lastRow="0" w:noHBand="0" w:noVBand="1" w:val="04A0"/>
        <w:tblW w:w="9355" w:type="dxa"/>
      </w:tblPr>
      <w:tblGrid>
        <w:gridCol w:w="2268"/>
        <w:gridCol w:w="7087"/>
      </w:tblGrid>
      <w:tblGrid>
        <w:gridCol w:w="4677"/>
        <w:gridCol w:w="4677"/>
      </w:tblGrid>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対象システム</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林業信用基金基幹システム（JAFFIC クラウド、Microsoft Azure）</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フロントエンド</w:t>
            </w:r>
          </w:p>
        </w:tc>
        <w:tc>
          <w:tcPr>
            <w:tcW w:type="dxa" w:w="4677"/>
            <w:shd w:val="clear" w:color="auto" w:fill="F5FA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Angular 18（IIS Root / 静的ファイル配信）</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バックエンド</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.NET 10 ASP.NET Core Web API（IIS Sub-App /api、Kestrel in-process）</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データベース</w:t>
            </w:r>
          </w:p>
        </w:tc>
        <w:tc>
          <w:tcPr>
            <w:tcW w:type="dxa" w:w="4677"/>
            <w:shd w:val="clear" w:color="auto" w:fill="F5FA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SQL Database（VNet 内配置。接続: Managed Identity）</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クラウド基盤</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JAFFIC クラウド（Microsoft Azure）— クラウド基盤運用・保守事業者管理</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ストレージ</w:t>
            </w:r>
          </w:p>
        </w:tc>
        <w:tc>
          <w:tcPr>
            <w:tcW w:type="dxa" w:w="4677"/>
            <w:shd w:val="clear" w:color="auto" w:fill="F5FA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Blob Storage（コンテナ: uploads/ ocr-import/ finance-linkage/）</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認証</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Microsoft Entra ID（JAFFIC 既存テナント、MSAL）</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ユーザー数</w:t>
            </w:r>
          </w:p>
        </w:tc>
        <w:tc>
          <w:tcPr>
            <w:tcW w:type="dxa" w:w="4677"/>
            <w:shd w:val="clear" w:color="auto" w:fill="F5FA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約40名（政府内部職員）</w:t>
            </w:r>
          </w:p>
        </w:tc>
      </w:tr>
      <w:tr>
        <w:tc>
          <w:tcPr>
            <w:tcW w:type="dxa" w:w="4677"/>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color w:val="000000"/>
                <w:sz w:val="18"/>
              </w:rPr>
              <w:t>本書バージョン</w:t>
            </w:r>
          </w:p>
        </w:tc>
        <w:tc>
          <w:tcPr>
            <w:tcW w:type="dxa" w:w="4677"/>
            <w:shd w:val="clear" w:color="auto" w:fill="FFFFFF"/>
            <w:tcBorders>
              <w:top w:val="single" w:sz="4" w:space="0" w:color="BFBFBF"/>
              <w:left w:val="single" w:sz="4" w:space="0" w:color="BFBFBF"/>
              <w:bottom w:val="single" w:sz="4" w:space="0" w:color="BFBFBF"/>
              <w:right w:val="single" w:sz="4" w:space="0" w:color="BFBFBF"/>
            </w:tcBorders>
            <w:tcW w:w="708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v1.0</w:t>
            </w:r>
          </w:p>
        </w:tc>
      </w:tr>
    </w:tbl>
    <w:p>
      <w:pPr>
        <w:spacing w:before="0" w:after="60"/>
      </w:pPr>
    </w:p>
    <w:p>
      <w:pPr>
        <w:spacing w:before="80" w:after="80"/>
        <w:pBdr>
          <w:left w:val="single" w:sz="18" w:space="4" w:color="2E75B6"/>
        </w:pBdr>
        <w:shd w:val="clear" w:color="auto" w:fill="EBF3FB"/>
        <w:ind w:left="160" w:right="120"/>
      </w:pPr>
      <w:r>
        <w:rPr>
          <w:rFonts w:eastAsia="MS 明朝" w:ascii="MS 明朝" w:hAnsi="MS 明朝"/>
          <w:rFonts w:ascii="MS 明朝" w:hAnsi="MS 明朝"/>
          <w:b w:val="0"/>
          <w:color w:val="1F4E79"/>
          <w:sz w:val="18"/>
        </w:rPr>
        <w:t>【注】 JAFFIC クラウド基盤において、FW（Azure Firewall）/ VPN Gateway / Bastion / DDoS Protection 等の共通インフラはクラウド基盤運用・保守事業者が管理する。リソースのスケーリングや拡張工事を行う際は、事前に JAFFIC クラウド基盤運用・保守事業者への申請・調整が必要となる場合がある。</w:t>
      </w:r>
    </w:p>
    <w:p>
      <w:pPr>
        <w:spacing w:before="0" w:after="60"/>
      </w:pPr>
    </w:p>
    <w:p>
      <w:r>
        <w:br w:type="page"/>
      </w:r>
    </w:p>
    <w:p>
      <w:pPr>
        <w:pStyle w:val="Heading1"/>
        <w:spacing w:before="360" w:after="120"/>
        <w:pBdr>
          <w:bottom w:val="single" w:sz="12" w:space="1" w:color="2E75B6"/>
        </w:pBdr>
      </w:pPr>
      <w:r>
        <w:rPr>
          <w:rFonts w:eastAsia="MS ゴシック" w:ascii="MS ゴシック" w:hAnsi="MS ゴシック"/>
          <w:rFonts w:ascii="MS ゴシック" w:hAnsi="MS ゴシック"/>
          <w:b/>
          <w:color w:val="1F4E79"/>
          <w:sz w:val="26"/>
        </w:rPr>
        <w:t>3．性能の拡張性設計（要件 3.6.1 対応）</w:t>
      </w:r>
    </w:p>
    <w:p>
      <w:pPr>
        <w:spacing w:before="0" w:after="60"/>
      </w:pPr>
      <w:r>
        <w:rPr>
          <w:rFonts w:eastAsia="MS 明朝" w:ascii="MS 明朝" w:hAnsi="MS 明朝"/>
          <w:rFonts w:ascii="MS 明朝" w:hAnsi="MS 明朝"/>
          <w:b w:val="0"/>
          <w:sz w:val="20"/>
        </w:rPr>
        <w:t>本章では、要件定義書 3.6.1「性能の拡張性」の各要件（①〜⑤）に対する設計方針および実施手順を定める。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3.1　設計方針（要件①②対応）</w:t>
      </w:r>
    </w:p>
    <w:p>
      <w:pPr>
        <w:spacing w:before="0" w:after="60"/>
      </w:pPr>
      <w:r>
        <w:rPr>
          <w:rFonts w:eastAsia="MS 明朝" w:ascii="MS 明朝" w:hAnsi="MS 明朝"/>
          <w:rFonts w:ascii="MS 明朝" w:hAnsi="MS 明朝"/>
          <w:b w:val="0"/>
          <w:sz w:val="20"/>
        </w:rPr>
        <w:t>本システムは信用基金が提供する JAFFIC クラウド（Microsoft Azure）上のマネージドサービスを最大限活用することで、利用率やデータ量の増加に対し、アプリケーションコードを変更することなく性能を拡張可能な設計とする。</w:t>
      </w:r>
    </w:p>
    <w:p>
      <w:pPr>
        <w:spacing w:before="0" w:after="60"/>
      </w:pPr>
    </w:p>
    <w:p>
      <w:pPr>
        <w:spacing w:before="0" w:after="60"/>
      </w:pPr>
      <w:r>
        <w:rPr>
          <w:rFonts w:eastAsia="MS 明朝" w:ascii="MS 明朝" w:hAnsi="MS 明朝"/>
          <w:rFonts w:ascii="MS 明朝" w:hAnsi="MS 明朝"/>
          <w:b w:val="0"/>
          <w:sz w:val="20"/>
        </w:rPr>
        <w:t>特段の拡張性要件は定義せず、Azure の動的スケーリング機構（VMサイズ変更・SQL層変更）により対応する（要件②準拠）。</w:t>
      </w:r>
    </w:p>
    <w:p>
      <w:pPr>
        <w:spacing w:before="0" w:after="60"/>
      </w:pPr>
    </w:p>
    <w:p>
      <w:pPr>
        <w:spacing w:before="80" w:after="80"/>
        <w:pBdr>
          <w:left w:val="single" w:sz="18" w:space="4" w:color="2E75B6"/>
        </w:pBdr>
        <w:shd w:val="clear" w:color="auto" w:fill="EBF3FB"/>
        <w:ind w:left="160" w:right="120"/>
      </w:pPr>
      <w:r>
        <w:rPr>
          <w:rFonts w:eastAsia="MS 明朝" w:ascii="MS 明朝" w:hAnsi="MS 明朝"/>
          <w:rFonts w:ascii="MS 明朝" w:hAnsi="MS 明朝"/>
          <w:b w:val="0"/>
          <w:color w:val="1F4E79"/>
          <w:sz w:val="18"/>
        </w:rPr>
        <w:t>【注】 【設計原則】性能拡張は「インフラ変更のみ」で対応できるよう、アプリケーションレイヤはリソース依存のハードコード値を持たず、全設定を外部化する（3.3節参照）。</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3.2　Azure リソースのスケーリング方針</w:t>
      </w:r>
    </w:p>
    <w:tbl>
      <w:tblPr>
        <w:tblW w:type="auto" w:w="0"/>
        <w:tblLook w:firstColumn="1" w:firstRow="1" w:lastColumn="0" w:lastRow="0" w:noHBand="0" w:noVBand="1" w:val="04A0"/>
        <w:tblW w:w="9355" w:type="dxa"/>
      </w:tblPr>
      <w:tblGrid>
        <w:gridCol w:w="1984"/>
        <w:gridCol w:w="2551"/>
        <w:gridCol w:w="4819"/>
      </w:tblGrid>
      <w:tblGrid>
        <w:gridCol w:w="3118"/>
        <w:gridCol w:w="3118"/>
        <w:gridCol w:w="3118"/>
      </w:tblGrid>
      <w:tr>
        <w:tc>
          <w:tcPr>
            <w:tcW w:type="dxa" w:w="3118"/>
            <w:shd w:val="clear" w:color="auto" w:fill="1F4E79"/>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Azureリソース種別</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スケーリング手段</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具体的操作・手順</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VM（APサーバ）</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垂直スケールアップ（VMサイズ変更）</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Portal / Azure CLI にて VMサイズを変更（例: B2ms → B4ms）。停止・サイズ変更・起動。IIS / Kestrel 設定変更は原則不要</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SQL Database</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サービス層変更（DTU / vCore 変更）</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Portal の「コンピューティングとストレージ」にて SKU をアップグレード。接続文字列の変更不要（エンドポイント固定）</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Blob Storage</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容量自動拡張（上限なし）</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Blob Storage は自動拡張のため事前設定不要。Hot / Cool / Archive ライフサイクルルールにより費用最適化</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Log Analytics Workspace</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データ保持期間延長・取込量上限変更</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保持期間: Azure Portal の「使用量と推定コスト」で設定。1日取込量に上限なし（従量課金）</w:t>
            </w:r>
          </w:p>
        </w:tc>
      </w:tr>
    </w:tbl>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3.3　設定情報の外部化・一元化（要件③対応）</w:t>
      </w:r>
    </w:p>
    <w:p>
      <w:pPr>
        <w:spacing w:before="0" w:after="60"/>
      </w:pPr>
      <w:r>
        <w:rPr>
          <w:rFonts w:eastAsia="MS 明朝" w:ascii="MS 明朝" w:hAnsi="MS 明朝"/>
          <w:rFonts w:ascii="MS 明朝" w:hAnsi="MS 明朝"/>
          <w:b w:val="0"/>
          <w:sz w:val="20"/>
        </w:rPr>
        <w:t>アプリケーションやインフラの設定情報は以下の方針に従い外部化・一元化し、将来の拡張・変更時にコードの再ビルド・再デプロイを最小化する。</w:t>
      </w:r>
    </w:p>
    <w:p>
      <w:pPr>
        <w:spacing w:before="0" w:after="60"/>
      </w:pPr>
    </w:p>
    <w:tbl>
      <w:tblPr>
        <w:tblW w:type="auto" w:w="0"/>
        <w:tblLook w:firstColumn="1" w:firstRow="1" w:lastColumn="0" w:lastRow="0" w:noHBand="0" w:noVBand="1" w:val="04A0"/>
        <w:tblW w:w="9355" w:type="dxa"/>
      </w:tblPr>
      <w:tblGrid>
        <w:gridCol w:w="1984"/>
        <w:gridCol w:w="2551"/>
        <w:gridCol w:w="4819"/>
      </w:tblGrid>
      <w:tblGrid>
        <w:gridCol w:w="3118"/>
        <w:gridCol w:w="3118"/>
        <w:gridCol w:w="3118"/>
      </w:tblGrid>
      <w:tr>
        <w:tc>
          <w:tcPr>
            <w:tcW w:type="dxa" w:w="3118"/>
            <w:shd w:val="clear" w:color="auto" w:fill="1F4E79"/>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設定項目</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管理場所</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実装方法・備考</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DB接続文字列</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Key Vault</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DefaultAzureCredential（Managed Identity）によりアプリ起動時に取得。appsettings.json には保持しない</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外部API認証情報</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Key Vault</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格付判定システム向け OAuth 2.0 Client Credentials。シークレット名: ExternalApi--ClientSecret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ログレベル・ログ保持設定</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appsettings.json + 環境変数</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Serilog の MinimumLevel を appsettings.{Environment}.json で環境別に管理</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AzureリソースのエンドポイントURL</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環境変数 / appsettings.json</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Blob Storage アカウント URL 等。コードへのハードコード禁止</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Entra ID（MSAL）設定</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appsettings.json</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TenantId / ClientId / Authority 等。ClientSecret は Key Vault に格納</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帳票・バッチ設定値</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55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DB マスタテーブル or appsettings.json</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481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定数的パラメタは DB マスタテーブル（コードマスタ）管理を原則とし、再デプロイなしに変更可能とする</w:t>
            </w:r>
          </w:p>
        </w:tc>
      </w:tr>
    </w:tbl>
    <w:p>
      <w:pPr>
        <w:spacing w:before="0" w:after="60"/>
      </w:pPr>
    </w:p>
    <w:p>
      <w:pPr>
        <w:spacing w:before="80" w:after="80"/>
        <w:pBdr>
          <w:left w:val="single" w:sz="18" w:space="4" w:color="2E75B6"/>
        </w:pBdr>
        <w:shd w:val="clear" w:color="auto" w:fill="EBF3FB"/>
        <w:ind w:left="160" w:right="120"/>
      </w:pPr>
      <w:r>
        <w:rPr>
          <w:rFonts w:eastAsia="MS 明朝" w:ascii="MS 明朝" w:hAnsi="MS 明朝"/>
          <w:rFonts w:ascii="MS 明朝" w:hAnsi="MS 明朝"/>
          <w:b w:val="0"/>
          <w:color w:val="1F4E79"/>
          <w:sz w:val="18"/>
        </w:rPr>
        <w:t>【注】 【実装方針】.NET 10 側では IConfiguration / IOptions&lt;T&gt; パターンにより全設定を DI 経由で参照する。Angular 18 側では environment.ts（ビルド時置換）を活用する。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3.4　リソース使用状況の監視と定期報告（要件④対応）</w:t>
      </w:r>
    </w:p>
    <w:p>
      <w:pPr>
        <w:spacing w:before="0" w:after="60"/>
      </w:pPr>
      <w:r>
        <w:rPr>
          <w:rFonts w:eastAsia="MS 明朝" w:ascii="MS 明朝" w:hAnsi="MS 明朝"/>
          <w:rFonts w:ascii="MS 明朝" w:hAnsi="MS 明朝"/>
          <w:b w:val="0"/>
          <w:sz w:val="20"/>
        </w:rPr>
        <w:t>定期的な運用報告において、以下の監視項目を確認し、リソース増強の必要性を信用基金へ報告する（Azure Monitor + Log Analytics を活用）。</w:t>
      </w:r>
    </w:p>
    <w:p>
      <w:pPr>
        <w:spacing w:before="0" w:after="60"/>
      </w:pPr>
    </w:p>
    <w:tbl>
      <w:tblPr>
        <w:tblW w:type="auto" w:w="0"/>
        <w:tblLook w:firstColumn="1" w:firstRow="1" w:lastColumn="0" w:lastRow="0" w:noHBand="0" w:noVBand="1" w:val="04A0"/>
        <w:tblW w:w="9355" w:type="dxa"/>
      </w:tblPr>
      <w:tblGrid>
        <w:gridCol w:w="1701"/>
        <w:gridCol w:w="1984"/>
        <w:gridCol w:w="2268"/>
        <w:gridCol w:w="3402"/>
      </w:tblGrid>
      <w:tblGrid>
        <w:gridCol w:w="2339"/>
        <w:gridCol w:w="2339"/>
        <w:gridCol w:w="2339"/>
        <w:gridCol w:w="2339"/>
      </w:tblGrid>
      <w:tr>
        <w:tc>
          <w:tcPr>
            <w:tcW w:type="dxa" w:w="2339"/>
            <w:shd w:val="clear" w:color="auto" w:fill="1F4E79"/>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監視項目</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対象リソース</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閾値（目安）</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報告・対応方法</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CPU使用率</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VM</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平均 ≥ 70%（5分）</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Monitor アラートで通知。VMサイズ変更を検討</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メモリ使用率</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VM</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平均 ≥ 80%</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プロセス調査後、VMサイズ変更または不要プロセス削減</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ディスク使用率</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VM（OSディスク）</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 80%</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ログローテーション確認・ディスク拡張申請</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SQL CPU / DTU 使用率</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SQL Database</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平均 ≥ 80%</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クエリチューニング検討後、SKUアップグレード申請</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Blob Storage 容量</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Blob Storage</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月次増加量 確認</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ライフサイクルポリシー見直し・容量予測報告</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Log Analytics 取込量</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Log Analytics Workspace</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月間取込量 確認</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不要ログ削減またはテーブル別取込設定調整</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APサーバ 応答時間</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IIS / Kestrel</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画面遷移 ≥ 3秒 / 検索 ≥ 5秒</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ボトルネック調査（Log Analytics トレース活用）</w:t>
            </w:r>
          </w:p>
        </w:tc>
      </w:tr>
    </w:tbl>
    <w:p>
      <w:pPr>
        <w:spacing w:before="0" w:after="60"/>
      </w:pPr>
    </w:p>
    <w:p>
      <w:pPr>
        <w:pStyle w:val="Heading3"/>
        <w:spacing w:before="180" w:after="60"/>
      </w:pPr>
      <w:r>
        <w:rPr>
          <w:rFonts w:eastAsia="MS ゴシック" w:ascii="MS ゴシック" w:hAnsi="MS ゴシック"/>
          <w:rFonts w:ascii="MS ゴシック" w:hAnsi="MS ゴシック"/>
          <w:b/>
          <w:color w:val="2E75B6"/>
          <w:sz w:val="20"/>
        </w:rPr>
        <w:t>3.4.1　報告サイクルと報告形式</w:t>
      </w:r>
    </w:p>
    <w:p>
      <w:pPr>
        <w:pStyle w:val="ListBullet"/>
        <w:spacing w:before="20" w:after="40"/>
        <w:ind w:left="480" w:hanging="240"/>
      </w:pPr>
      <w:r>
        <w:rPr>
          <w:rFonts w:eastAsia="MS 明朝" w:ascii="MS 明朝" w:hAnsi="MS 明朝"/>
          <w:rFonts w:ascii="MS 明朝" w:hAnsi="MS 明朝"/>
          <w:b w:val="0"/>
          <w:sz w:val="20"/>
        </w:rPr>
        <w:t>月次運用報告時に上記監視項目の使用状況推移グラフおよびサマリを報告する</w:t>
      </w:r>
    </w:p>
    <w:p>
      <w:pPr>
        <w:pStyle w:val="ListBullet"/>
        <w:spacing w:before="20" w:after="40"/>
        <w:ind w:left="480" w:hanging="240"/>
      </w:pPr>
      <w:r>
        <w:rPr>
          <w:rFonts w:eastAsia="MS 明朝" w:ascii="MS 明朝" w:hAnsi="MS 明朝"/>
          <w:rFonts w:ascii="MS 明朝" w:hAnsi="MS 明朝"/>
          <w:b w:val="0"/>
          <w:sz w:val="20"/>
        </w:rPr>
        <w:t>閾値超過発生時は即時アラート通知（Azure Monitor → メール通知）を行い、次回定例前に対応方針を報告する</w:t>
      </w:r>
    </w:p>
    <w:p>
      <w:pPr>
        <w:pStyle w:val="ListBullet"/>
        <w:spacing w:before="20" w:after="40"/>
        <w:ind w:left="480" w:hanging="240"/>
      </w:pPr>
      <w:r>
        <w:rPr>
          <w:rFonts w:eastAsia="MS 明朝" w:ascii="MS 明朝" w:hAnsi="MS 明朝"/>
          <w:rFonts w:ascii="MS 明朝" w:hAnsi="MS 明朝"/>
          <w:b w:val="0"/>
          <w:sz w:val="20"/>
        </w:rPr>
        <w:t>リソース増強が必要と判断した場合は、増強規模・費用・スケジュールの試算を添付して信用基金へ提案する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3.5　リソース割り当て変更手順（要件⑤対応）</w:t>
      </w:r>
    </w:p>
    <w:p>
      <w:pPr>
        <w:spacing w:before="0" w:after="60"/>
      </w:pPr>
      <w:r>
        <w:rPr>
          <w:rFonts w:eastAsia="MS 明朝" w:ascii="MS 明朝" w:hAnsi="MS 明朝"/>
          <w:rFonts w:ascii="MS 明朝" w:hAnsi="MS 明朝"/>
          <w:b w:val="0"/>
          <w:sz w:val="20"/>
        </w:rPr>
        <w:t>業務量の増加・減少に伴うリソース割り当て変更は、以下の手順に従い実施する。</w:t>
      </w:r>
    </w:p>
    <w:p>
      <w:pPr>
        <w:spacing w:before="0" w:after="60"/>
      </w:pPr>
    </w:p>
    <w:tbl>
      <w:tblPr>
        <w:tblW w:type="auto" w:w="0"/>
        <w:tblLook w:firstColumn="1" w:firstRow="1" w:lastColumn="0" w:lastRow="0" w:noHBand="0" w:noVBand="1" w:val="04A0"/>
        <w:tblW w:w="9355" w:type="dxa"/>
      </w:tblPr>
      <w:tblGrid>
        <w:gridCol w:w="850"/>
        <w:gridCol w:w="1984"/>
        <w:gridCol w:w="6520"/>
      </w:tblGrid>
      <w:tblGrid>
        <w:gridCol w:w="3118"/>
        <w:gridCol w:w="3118"/>
        <w:gridCol w:w="3118"/>
      </w:tblGrid>
      <w:tr>
        <w:tc>
          <w:tcPr>
            <w:tcW w:type="dxa" w:w="3118"/>
            <w:shd w:val="clear" w:color="auto" w:fill="1F4E79"/>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手順</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担当</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6520"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内容</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①</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OKI（運用担当）</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652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監視データ・利用傾向からリソース不足・余剰を検知。変更提案書を作成</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②</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OKI → 信用基金</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652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変更提案書（増強規模・費用試算・適用スケジュール）を提出・承認取得</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③</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OKI → JAFFIC基盤事業者</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652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必要に応じて JAFFIC クラウド基盤運用・保守事業者へ申請・調整（FW 設定変更等を伴う場合）</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④</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OKI（インフラ担当）</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652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Azure Portal / CLI にてリソース変更実施。変更前後のメトリクスを記録</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⑤</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OKI（運用担当）</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652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変更後1週間の監視強化。問題なければ作業完了報告を信用基金へ提出</w:t>
            </w:r>
          </w:p>
        </w:tc>
      </w:tr>
    </w:tbl>
    <w:p>
      <w:pPr>
        <w:spacing w:before="0" w:after="60"/>
      </w:pPr>
    </w:p>
    <w:p>
      <w:r>
        <w:br w:type="page"/>
      </w:r>
    </w:p>
    <w:p>
      <w:pPr>
        <w:pStyle w:val="Heading1"/>
        <w:spacing w:before="360" w:after="120"/>
        <w:pBdr>
          <w:bottom w:val="single" w:sz="12" w:space="1" w:color="2E75B6"/>
        </w:pBdr>
      </w:pPr>
      <w:r>
        <w:rPr>
          <w:rFonts w:eastAsia="MS ゴシック" w:ascii="MS ゴシック" w:hAnsi="MS ゴシック"/>
          <w:rFonts w:ascii="MS ゴシック" w:hAnsi="MS ゴシック"/>
          <w:b/>
          <w:color w:val="1F4E79"/>
          <w:sz w:val="26"/>
        </w:rPr>
        <w:t>4．機能の拡張性設計（要件 3.6.2 対応）</w:t>
      </w:r>
    </w:p>
    <w:p>
      <w:pPr>
        <w:spacing w:before="0" w:after="60"/>
      </w:pPr>
      <w:r>
        <w:rPr>
          <w:rFonts w:eastAsia="MS 明朝" w:ascii="MS 明朝" w:hAnsi="MS 明朝"/>
          <w:rFonts w:ascii="MS 明朝" w:hAnsi="MS 明朝"/>
          <w:b w:val="0"/>
          <w:sz w:val="20"/>
        </w:rPr>
        <w:t>本章では、要件定義書 3.6.2「機能の拡張性」の各要件（①〜④）に対する設計方針を定める。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4.1　アーキテクチャによる拡張性確保（要件①対応）</w:t>
      </w:r>
    </w:p>
    <w:p>
      <w:pPr>
        <w:spacing w:before="0" w:after="60"/>
      </w:pPr>
      <w:r>
        <w:rPr>
          <w:rFonts w:eastAsia="MS 明朝" w:ascii="MS 明朝" w:hAnsi="MS 明朝"/>
          <w:rFonts w:ascii="MS 明朝" w:hAnsi="MS 明朝"/>
          <w:b w:val="0"/>
          <w:sz w:val="20"/>
        </w:rPr>
        <w:t>本システムは以下のアーキテクチャ設計により、新機能追加・外部連携拡張が低コスト・低リスクで実施できる構造とする。</w:t>
      </w:r>
    </w:p>
    <w:p>
      <w:pPr>
        <w:spacing w:before="0" w:after="60"/>
      </w:pPr>
    </w:p>
    <w:p>
      <w:pPr>
        <w:pStyle w:val="Heading3"/>
        <w:spacing w:before="180" w:after="60"/>
      </w:pPr>
      <w:r>
        <w:rPr>
          <w:rFonts w:eastAsia="MS ゴシック" w:ascii="MS ゴシック" w:hAnsi="MS ゴシック"/>
          <w:rFonts w:ascii="MS ゴシック" w:hAnsi="MS ゴシック"/>
          <w:b/>
          <w:color w:val="2E75B6"/>
          <w:sz w:val="20"/>
        </w:rPr>
        <w:t>4.1.1　フロントエンド（Angular 18）</w:t>
      </w:r>
    </w:p>
    <w:p>
      <w:pPr>
        <w:pStyle w:val="ListBullet"/>
        <w:spacing w:before="20" w:after="40"/>
        <w:ind w:left="480" w:hanging="240"/>
      </w:pPr>
      <w:r>
        <w:rPr>
          <w:rFonts w:eastAsia="MS 明朝" w:ascii="MS 明朝" w:hAnsi="MS 明朝"/>
          <w:rFonts w:ascii="MS 明朝" w:hAnsi="MS 明朝"/>
          <w:b w:val="0"/>
          <w:sz w:val="20"/>
        </w:rPr>
        <w:t>サブシステム単位の Lazy Loading によりモジュール独立性を確保。新規サブシステムの追加は既存モジュールへの影響なく実施可能</w:t>
      </w:r>
    </w:p>
    <w:p>
      <w:pPr>
        <w:pStyle w:val="ListBullet"/>
        <w:spacing w:before="20" w:after="40"/>
        <w:ind w:left="480" w:hanging="240"/>
      </w:pPr>
      <w:r>
        <w:rPr>
          <w:rFonts w:eastAsia="MS 明朝" w:ascii="MS 明朝" w:hAnsi="MS 明朝"/>
          <w:rFonts w:ascii="MS 明朝" w:hAnsi="MS 明朝"/>
          <w:b w:val="0"/>
          <w:sz w:val="20"/>
        </w:rPr>
        <w:t>HOSHO / SATEI / SUISHIN / KEIRI / KYOTSU / KASHI / KITAKU の7サブシステム + AUTH の構造を基本とし、将来サブシステムは同一パターンで追加可能</w:t>
      </w:r>
    </w:p>
    <w:p>
      <w:pPr>
        <w:pStyle w:val="ListBullet"/>
        <w:spacing w:before="20" w:after="40"/>
        <w:ind w:left="480" w:hanging="240"/>
      </w:pPr>
      <w:r>
        <w:rPr>
          <w:rFonts w:eastAsia="MS 明朝" w:ascii="MS 明朝" w:hAnsi="MS 明朝"/>
          <w:rFonts w:ascii="MS 明朝" w:hAnsi="MS 明朝"/>
          <w:b w:val="0"/>
          <w:sz w:val="20"/>
        </w:rPr>
        <w:t>RoleGuard / MsalInterceptor 等の共通処理は DI により自動適用。新機能追加時に個別実装不要</w:t>
      </w:r>
    </w:p>
    <w:p>
      <w:pPr>
        <w:pStyle w:val="ListBullet"/>
        <w:spacing w:before="20" w:after="40"/>
        <w:ind w:left="480" w:hanging="240"/>
      </w:pPr>
      <w:r>
        <w:rPr>
          <w:rFonts w:eastAsia="MS 明朝" w:ascii="MS 明朝" w:hAnsi="MS 明朝"/>
          <w:rFonts w:ascii="MS 明朝" w:hAnsi="MS 明朝"/>
          <w:b w:val="0"/>
          <w:sz w:val="20"/>
        </w:rPr>
        <w:t>Angular Material コンポーネントの統一使用により、UI 追加時のデザイン一貫性を確保</w:t>
      </w:r>
    </w:p>
    <w:p>
      <w:pPr>
        <w:spacing w:before="0" w:after="60"/>
      </w:pPr>
    </w:p>
    <w:p>
      <w:pPr>
        <w:pStyle w:val="Heading3"/>
        <w:spacing w:before="180" w:after="60"/>
      </w:pPr>
      <w:r>
        <w:rPr>
          <w:rFonts w:eastAsia="MS ゴシック" w:ascii="MS ゴシック" w:hAnsi="MS ゴシック"/>
          <w:rFonts w:ascii="MS ゴシック" w:hAnsi="MS ゴシック"/>
          <w:b/>
          <w:color w:val="2E75B6"/>
          <w:sz w:val="20"/>
        </w:rPr>
        <w:t>4.1.2　バックエンド（.NET 10 Web API）</w:t>
      </w:r>
    </w:p>
    <w:p>
      <w:pPr>
        <w:pStyle w:val="ListBullet"/>
        <w:spacing w:before="20" w:after="40"/>
        <w:ind w:left="480" w:hanging="240"/>
      </w:pPr>
      <w:r>
        <w:rPr>
          <w:rFonts w:eastAsia="MS 明朝" w:ascii="MS 明朝" w:hAnsi="MS 明朝"/>
          <w:rFonts w:ascii="MS 明朝" w:hAnsi="MS 明朝"/>
          <w:b w:val="0"/>
          <w:sz w:val="20"/>
        </w:rPr>
        <w:t>Clean Architecture（Api / Application / Domain / Infrastructure の4層分離）により業務ロジックとインフラの結合を最小化</w:t>
      </w:r>
    </w:p>
    <w:p>
      <w:pPr>
        <w:pStyle w:val="ListBullet"/>
        <w:spacing w:before="20" w:after="40"/>
        <w:ind w:left="480" w:hanging="240"/>
      </w:pPr>
      <w:r>
        <w:rPr>
          <w:rFonts w:eastAsia="MS 明朝" w:ascii="MS 明朝" w:hAnsi="MS 明朝"/>
          <w:rFonts w:ascii="MS 明朝" w:hAnsi="MS 明朝"/>
          <w:b w:val="0"/>
          <w:sz w:val="20"/>
        </w:rPr>
        <w:t>Repository&lt;T&gt; + UnitOfWork パターンにより、新テーブル追加時はドメインエンティティと Repository を定義するだけで CRUD が実装可能</w:t>
      </w:r>
    </w:p>
    <w:p>
      <w:pPr>
        <w:pStyle w:val="ListBullet"/>
        <w:spacing w:before="20" w:after="40"/>
        <w:ind w:left="480" w:hanging="240"/>
      </w:pPr>
      <w:r>
        <w:rPr>
          <w:rFonts w:eastAsia="MS 明朝" w:ascii="MS 明朝" w:hAnsi="MS 明朝"/>
          <w:rFonts w:ascii="MS 明朝" w:hAnsi="MS 明朝"/>
          <w:b w:val="0"/>
          <w:sz w:val="20"/>
        </w:rPr>
        <w:t>外部 API 連携は HttpClientFactory + Polly により実装。新規外部システム連携の追加は新 Service クラスの追加のみで対応可能</w:t>
      </w:r>
    </w:p>
    <w:p>
      <w:pPr>
        <w:pStyle w:val="ListBullet"/>
        <w:spacing w:before="20" w:after="40"/>
        <w:ind w:left="480" w:hanging="240"/>
      </w:pPr>
      <w:r>
        <w:rPr>
          <w:rFonts w:eastAsia="MS 明朝" w:ascii="MS 明朝" w:hAnsi="MS 明朝"/>
          <w:rFonts w:ascii="MS 明朝" w:hAnsi="MS 明朝"/>
          <w:b w:val="0"/>
          <w:sz w:val="20"/>
        </w:rPr>
        <w:t>BackgroundService パターンによりバッチ処理を疎結合で追加可能（既存 Web API に影響なし）</w:t>
      </w:r>
    </w:p>
    <w:p>
      <w:pPr>
        <w:spacing w:before="0" w:after="60"/>
      </w:pPr>
    </w:p>
    <w:p>
      <w:pPr>
        <w:pStyle w:val="Heading3"/>
        <w:spacing w:before="180" w:after="60"/>
      </w:pPr>
      <w:r>
        <w:rPr>
          <w:rFonts w:eastAsia="MS ゴシック" w:ascii="MS ゴシック" w:hAnsi="MS ゴシック"/>
          <w:rFonts w:ascii="MS ゴシック" w:hAnsi="MS ゴシック"/>
          <w:b/>
          <w:color w:val="2E75B6"/>
          <w:sz w:val="20"/>
        </w:rPr>
        <w:t>4.1.3　外部システム連携の拡張方針</w:t>
      </w:r>
    </w:p>
    <w:p>
      <w:pPr>
        <w:spacing w:before="0" w:after="60"/>
      </w:pPr>
      <w:r>
        <w:rPr>
          <w:rFonts w:eastAsia="MS 明朝" w:ascii="MS 明朝" w:hAnsi="MS 明朝"/>
          <w:rFonts w:ascii="MS 明朝" w:hAnsi="MS 明朝"/>
          <w:b w:val="0"/>
          <w:sz w:val="20"/>
        </w:rPr>
        <w:t>現時点で確定している外部システム連携は以下のとおりである。新規連携が必要になった場合は、同一パターンで追加する。</w:t>
      </w:r>
    </w:p>
    <w:p>
      <w:pPr>
        <w:spacing w:before="0" w:after="60"/>
      </w:pPr>
    </w:p>
    <w:tbl>
      <w:tblPr>
        <w:tblW w:type="auto" w:w="0"/>
        <w:tblLook w:firstColumn="1" w:firstRow="1" w:lastColumn="0" w:lastRow="0" w:noHBand="0" w:noVBand="1" w:val="04A0"/>
        <w:tblW w:w="9355" w:type="dxa"/>
      </w:tblPr>
      <w:tblGrid>
        <w:gridCol w:w="2268"/>
        <w:gridCol w:w="1984"/>
        <w:gridCol w:w="5103"/>
      </w:tblGrid>
      <w:tblGrid>
        <w:gridCol w:w="3118"/>
        <w:gridCol w:w="3118"/>
        <w:gridCol w:w="3118"/>
      </w:tblGrid>
      <w:tr>
        <w:tc>
          <w:tcPr>
            <w:tcW w:type="dxa" w:w="3118"/>
            <w:shd w:val="clear" w:color="auto" w:fill="1F4E79"/>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外部システム</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連携プロトコル</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拡張時の対応方法</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格付判定システム</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HTTPS / OAuth 2.0</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新エンドポイント追加は IKakuzukeService の抽象化を維持したまま実装クラス拡張。Polly リトライポリシーは共通設定を流用</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財務会計システム（BASE-One）</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SFTP（調査中）</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SftpService に新ファイル種別の送受信メソッドを追加。既存ファイル処理に影響なし</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AnyForm OCR（ハンモック）</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Blob / AzCopy</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新帳票テンプレート追加時は CsvHelper の DTO マッピング定義を追加するのみ</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将来追加連携（TBD）</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要確認</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HttpClientFactory に新 Named Client を登録。IExternalXxxService インタフェースを定義して DI 登録</w:t>
            </w:r>
          </w:p>
        </w:tc>
      </w:tr>
    </w:tbl>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4.2　コンポーネントの再利用性確保（要件②対応）</w:t>
      </w:r>
    </w:p>
    <w:p>
      <w:pPr>
        <w:spacing w:before="0" w:after="60"/>
      </w:pPr>
      <w:r>
        <w:rPr>
          <w:rFonts w:eastAsia="MS 明朝" w:ascii="MS 明朝" w:hAnsi="MS 明朝"/>
          <w:rFonts w:ascii="MS 明朝" w:hAnsi="MS 明朝"/>
          <w:b w:val="0"/>
          <w:sz w:val="20"/>
        </w:rPr>
        <w:t>利用者ニーズおよび業務環境の変化に最小コストで対応するため、以下の共通コンポーネント体系を整備する。</w:t>
      </w:r>
    </w:p>
    <w:p>
      <w:pPr>
        <w:spacing w:before="0" w:after="60"/>
      </w:pPr>
    </w:p>
    <w:tbl>
      <w:tblPr>
        <w:tblW w:type="auto" w:w="0"/>
        <w:tblLook w:firstColumn="1" w:firstRow="1" w:lastColumn="0" w:lastRow="0" w:noHBand="0" w:noVBand="1" w:val="04A0"/>
        <w:tblW w:w="9355" w:type="dxa"/>
      </w:tblPr>
      <w:tblGrid>
        <w:gridCol w:w="1417"/>
        <w:gridCol w:w="2268"/>
        <w:gridCol w:w="2835"/>
        <w:gridCol w:w="2835"/>
      </w:tblGrid>
      <w:tblGrid>
        <w:gridCol w:w="2339"/>
        <w:gridCol w:w="2339"/>
        <w:gridCol w:w="2339"/>
        <w:gridCol w:w="2339"/>
      </w:tblGrid>
      <w:tr>
        <w:tc>
          <w:tcPr>
            <w:tcW w:type="dxa" w:w="2339"/>
            <w:shd w:val="clear" w:color="auto" w:fill="1F4E79"/>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区分</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共通コンポーネント名</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用途・役割</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再利用方法</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MsalInterceptor</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Entra ID Access Token 自動付与</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全サブシステムで DI 登録済み。個別実装不要</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ErrorInterceptor</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401/403/500 統一エラー処理・Toast通知</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全サブシステムで DI 登録済み。個別実装不要</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RoleGuard</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メニュー・画面単位の権限制御</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route に canActivate で付与。ロールコード指定のみ</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NotificationService</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nrmList/wrnList/errList の Toast 表示</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画面 TS から inject して呼び出し</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BaseListComponent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一覧画面基底クラス（検索・ページング・エクスポート）</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各一覧画面コンポーネントが extends</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BaseFormComponent</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入力画面基底クラス（バリデーション・保存）</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各入力画面コンポーネントが extends</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.NET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BaseApiController</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Controller 基底クラス（ApiResponse 統一変換）</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全 Controller が継承</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.NET</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ExceptionHandlerMiddleware</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全例外キャッチ → errList[ESYS50001]</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Program.cs で一度登録。個別実装不要</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.NET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Repository&lt;T&gt; / UnitOfWork</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EF Core の汎用 CRUD ラッパー</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各ドメインの Repository が継承</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.NET</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ServiceResult&lt;T&gt;</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Service 層の統一戻り値パターン</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Ok() / OkWithWarning() ファクトリメソッド使用</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417"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.NET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FluentValidation AbstractValidator&lt;T&gt;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リクエスト DTO の入力検証</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83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DTO ごとに派生クラスを作成・DI 登録</w:t>
            </w:r>
          </w:p>
        </w:tc>
      </w:tr>
    </w:tbl>
    <w:p>
      <w:pPr>
        <w:spacing w:before="0" w:after="60"/>
      </w:pPr>
    </w:p>
    <w:p>
      <w:pPr>
        <w:spacing w:before="80" w:after="80"/>
        <w:pBdr>
          <w:left w:val="single" w:sz="18" w:space="4" w:color="2E75B6"/>
        </w:pBdr>
        <w:shd w:val="clear" w:color="auto" w:fill="EBF3FB"/>
        <w:ind w:left="160" w:right="120"/>
      </w:pPr>
      <w:r>
        <w:rPr>
          <w:rFonts w:eastAsia="MS 明朝" w:ascii="MS 明朝" w:hAnsi="MS 明朝"/>
          <w:rFonts w:ascii="MS 明朝" w:hAnsi="MS 明朝"/>
          <w:b w:val="0"/>
          <w:color w:val="1F4E79"/>
          <w:sz w:val="18"/>
        </w:rPr>
        <w:t>【注】 【設計原則】新規業務機能を追加する際は、まず既存の共通コンポーネントで対応可能かを検討する。共通化すべき新機能が生まれた場合は、個別実装後に共通コンポーネントとして切り出すリファクタリングを計画的に実施す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4.3　命名規則ポリシー（要件③対応）</w:t>
      </w:r>
    </w:p>
    <w:p>
      <w:pPr>
        <w:spacing w:before="0" w:after="60"/>
      </w:pPr>
      <w:r>
        <w:rPr>
          <w:rFonts w:eastAsia="MS 明朝" w:ascii="MS 明朝" w:hAnsi="MS 明朝"/>
          <w:rFonts w:ascii="MS 明朝" w:hAnsi="MS 明朝"/>
          <w:b w:val="0"/>
          <w:sz w:val="20"/>
        </w:rPr>
        <w:t>機能・画面・帳票・API における固有の ID・項目名等は、以下の系統だった命名ポリシーに従い、中長期的な重複を避けるとともに可読性を確保する。</w:t>
      </w:r>
    </w:p>
    <w:p>
      <w:pPr>
        <w:spacing w:before="0" w:after="60"/>
      </w:pPr>
    </w:p>
    <w:tbl>
      <w:tblPr>
        <w:tblW w:type="auto" w:w="0"/>
        <w:tblLook w:firstColumn="1" w:firstRow="1" w:lastColumn="0" w:lastRow="0" w:noHBand="0" w:noVBand="1" w:val="04A0"/>
        <w:tblW w:w="9355" w:type="dxa"/>
      </w:tblPr>
      <w:tblGrid>
        <w:gridCol w:w="1701"/>
        <w:gridCol w:w="2268"/>
        <w:gridCol w:w="2268"/>
        <w:gridCol w:w="3118"/>
      </w:tblGrid>
      <w:tblGrid>
        <w:gridCol w:w="2339"/>
        <w:gridCol w:w="2339"/>
        <w:gridCol w:w="2339"/>
        <w:gridCol w:w="2339"/>
      </w:tblGrid>
      <w:tr>
        <w:tc>
          <w:tcPr>
            <w:tcW w:type="dxa" w:w="2339"/>
            <w:shd w:val="clear" w:color="auto" w:fill="1F4E79"/>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対象</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命名規則</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形式例</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補足・禁止事項</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API エンドポイント</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/api/&lt;subsystem&gt;/&lt;screen&gt;/&lt;method&gt;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/api/hosho/hosho1010/search</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サブシステム名は小文字英字。番号は4桁固定</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APIメソッド名（URL末尾）</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lowerCamelCase 英語（日本語ローマ字可）</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jikoToroku, shodanSearch</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スネークケース・大文字始まり禁止</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API 番号（内部ID）</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&lt;サブシステム大文字&gt;&lt;4桁番号&gt;&lt;メソッド名&gt;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HOSHO1010Search</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重複禁止。廃番は欠番のまま残す</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エラー/通知コード</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I{SYS}2xxxx / W{SYS}3xxxx / E{SYS}4xxxx</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IHOSHO20001</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番号帯は設計書で一元管理</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 コンポーネント</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PascalCase + 役割サフィックス</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Hosho1010SearchComponent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機能追加時に既存名称と重複しないこと</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Angular サービス</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PascalCase + Service サフィックス</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Hosho1010Service</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サブシステム別ディレクトリに配置</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.NET Controller クラス</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PascalCase + Controller サフィックス</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Hosho1010Controller</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サブシステムフォルダ（Controllers/Hosho/）配置</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DB テーブル名</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スネークケース（統一）</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guarantee_application</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プレフィックス等の体系は DB 設計書で一元管理</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170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リソース名</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&lt;種別略称&gt;-&lt;システム&gt;-&lt;環境&gt;</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vm-ringyo-prod</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11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JAFFIC 命名規則に準拠すること</w:t>
            </w:r>
          </w:p>
        </w:tc>
      </w:tr>
    </w:tbl>
    <w:p>
      <w:pPr>
        <w:spacing w:before="0" w:after="60"/>
      </w:pPr>
    </w:p>
    <w:p>
      <w:pPr>
        <w:pStyle w:val="Heading3"/>
        <w:spacing w:before="180" w:after="60"/>
      </w:pPr>
      <w:r>
        <w:rPr>
          <w:rFonts w:eastAsia="MS ゴシック" w:ascii="MS ゴシック" w:hAnsi="MS ゴシック"/>
          <w:rFonts w:ascii="MS ゴシック" w:hAnsi="MS ゴシック"/>
          <w:b/>
          <w:color w:val="2E75B6"/>
          <w:sz w:val="20"/>
        </w:rPr>
        <w:t>4.3.1　命名ルール管理</w:t>
      </w:r>
    </w:p>
    <w:p>
      <w:pPr>
        <w:pStyle w:val="ListBullet"/>
        <w:spacing w:before="20" w:after="40"/>
        <w:ind w:left="480" w:hanging="240"/>
      </w:pPr>
      <w:r>
        <w:rPr>
          <w:rFonts w:eastAsia="MS 明朝" w:ascii="MS 明朝" w:hAnsi="MS 明朝"/>
          <w:rFonts w:ascii="MS 明朝" w:hAnsi="MS 明朝"/>
          <w:b w:val="0"/>
          <w:sz w:val="20"/>
        </w:rPr>
        <w:t>API 番号の管理台帳（API一覧表）を設計書附属として維持管理し、追加・変更時は必ず台帳を更新する</w:t>
      </w:r>
    </w:p>
    <w:p>
      <w:pPr>
        <w:pStyle w:val="ListBullet"/>
        <w:spacing w:before="20" w:after="40"/>
        <w:ind w:left="480" w:hanging="240"/>
      </w:pPr>
      <w:r>
        <w:rPr>
          <w:rFonts w:eastAsia="MS 明朝" w:ascii="MS 明朝" w:hAnsi="MS 明朝"/>
          <w:rFonts w:ascii="MS 明朝" w:hAnsi="MS 明朝"/>
          <w:b w:val="0"/>
          <w:sz w:val="20"/>
        </w:rPr>
        <w:t>エラー/通知コードの採番は設計チームが一元管理する。番号帯の重複・欠番は台帳確認後に採番する</w:t>
      </w:r>
    </w:p>
    <w:p>
      <w:pPr>
        <w:pStyle w:val="ListBullet"/>
        <w:spacing w:before="20" w:after="40"/>
        <w:ind w:left="480" w:hanging="240"/>
      </w:pPr>
      <w:r>
        <w:rPr>
          <w:rFonts w:eastAsia="MS 明朝" w:ascii="MS 明朝" w:hAnsi="MS 明朝"/>
          <w:rFonts w:ascii="MS 明朝" w:hAnsi="MS 明朝"/>
          <w:b w:val="0"/>
          <w:sz w:val="20"/>
        </w:rPr>
        <w:t>廃止となった番号は欠番として残し、将来の再利用を禁止する</w:t>
      </w:r>
    </w:p>
    <w:p>
      <w:pPr>
        <w:spacing w:before="0" w:after="60"/>
      </w:pPr>
    </w:p>
    <w:p>
      <w:pPr>
        <w:pStyle w:val="Heading2"/>
        <w:spacing w:before="240" w:after="80"/>
        <w:pBdr>
          <w:bottom w:val="single" w:sz="6" w:space="1" w:color="BDD7EE"/>
        </w:pBdr>
      </w:pPr>
      <w:r>
        <w:rPr>
          <w:rFonts w:eastAsia="MS ゴシック" w:ascii="MS ゴシック" w:hAnsi="MS ゴシック"/>
          <w:rFonts w:ascii="MS ゴシック" w:hAnsi="MS ゴシック"/>
          <w:b/>
          <w:color w:val="1F4E79"/>
          <w:sz w:val="22"/>
        </w:rPr>
        <w:t>4.4　文字コード・特殊文字の制限（要件④対応）</w:t>
      </w:r>
    </w:p>
    <w:p>
      <w:pPr>
        <w:spacing w:before="0" w:after="60"/>
      </w:pPr>
      <w:r>
        <w:rPr>
          <w:rFonts w:eastAsia="MS 明朝" w:ascii="MS 明朝" w:hAnsi="MS 明朝"/>
          <w:rFonts w:ascii="MS 明朝" w:hAnsi="MS 明朝"/>
          <w:b w:val="0"/>
          <w:sz w:val="20"/>
        </w:rPr>
        <w:t>合字・半角カタカナその他環境に依存する特殊文字については、業務上特別の必要性が認められない限り原則として使用しない。以下に制限方針を定める。</w:t>
      </w:r>
    </w:p>
    <w:p>
      <w:pPr>
        <w:spacing w:before="0" w:after="60"/>
      </w:pPr>
    </w:p>
    <w:tbl>
      <w:tblPr>
        <w:tblW w:type="auto" w:w="0"/>
        <w:tblLook w:firstColumn="1" w:firstRow="1" w:lastColumn="0" w:lastRow="0" w:noHBand="0" w:noVBand="1" w:val="04A0"/>
        <w:tblW w:w="9355" w:type="dxa"/>
      </w:tblPr>
      <w:tblGrid>
        <w:gridCol w:w="1984"/>
        <w:gridCol w:w="2268"/>
        <w:gridCol w:w="5103"/>
      </w:tblGrid>
      <w:tblGrid>
        <w:gridCol w:w="3118"/>
        <w:gridCol w:w="3118"/>
        <w:gridCol w:w="3118"/>
      </w:tblGrid>
      <w:tr>
        <w:tc>
          <w:tcPr>
            <w:tcW w:type="dxa" w:w="3118"/>
            <w:shd w:val="clear" w:color="auto" w:fill="1F4E79"/>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分類</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制限方針</w:t>
            </w:r>
          </w:p>
        </w:tc>
        <w:tc>
          <w:tcPr>
            <w:tcW w:type="dxa" w:w="3118"/>
            <w:shd w:val="clear" w:color="auto" w:fill="1F4E79"/>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詳細・根拠</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合字（㎝、㎞、㍉ 等）</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原則使用禁止</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環境依存文字のためフォント・OS・ブラウザの違いで文字化けが発生する可能性がある。業務上の特別な必要性がある場合のみ、クライアント承認を得た上で使用可</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半角カタカナ</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使用禁止</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UTF-8 環境では表示崩れが生じるリスクがある。全角カタカナを使用すること</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環境依存文字（①②③ 等の丸数字）</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原則使用禁止</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帳票・CSV 出力では文字化けの原因となる。代替表現（(1)(2)(3)）を優先すること</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機種依存文字（㈱、〒 等）</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使用禁止</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JIS X 0208 の範囲外の文字は使用しない</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絵文字・特殊記号</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使用禁止</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システム内の全データ（DB・ログ・ファイル名・API 値）への絵文字入力は禁止</w:t>
            </w:r>
          </w:p>
        </w:tc>
      </w:tr>
      <w:tr>
        <w:tc>
          <w:tcPr>
            <w:tcW w:type="dxa" w:w="3118"/>
            <w:shd w:val="clear" w:color="auto" w:fill="DEEAF1"/>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文字コード（DB）</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UTF-8（BOM なし）を使用</w:t>
            </w:r>
          </w:p>
        </w:tc>
        <w:tc>
          <w:tcPr>
            <w:tcW w:type="dxa" w:w="3118"/>
            <w:shd w:val="clear" w:color="auto" w:fill="DEEAF1"/>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Azure SQL Database の照合順序: Japanese_CI_AS を使用</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W w:w="198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文字コード（CSV ファイル）</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Shift-JIS または UTF-8（BOM 付き）</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W w:w="5103"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AnyForm OCR 出力 CSV および財務会計システム連携 CSV は、外部連携先の仕様に従い確認・統一すること（要顧客確認）</w:t>
            </w:r>
          </w:p>
        </w:tc>
      </w:tr>
    </w:tbl>
    <w:p>
      <w:pPr>
        <w:spacing w:before="0" w:after="60"/>
      </w:pPr>
    </w:p>
    <w:p>
      <w:pPr>
        <w:pStyle w:val="Heading3"/>
        <w:spacing w:before="180" w:after="60"/>
      </w:pPr>
      <w:r>
        <w:rPr>
          <w:rFonts w:eastAsia="MS ゴシック" w:ascii="MS ゴシック" w:hAnsi="MS ゴシック"/>
          <w:rFonts w:ascii="MS ゴシック" w:hAnsi="MS ゴシック"/>
          <w:b/>
          <w:color w:val="2E75B6"/>
          <w:sz w:val="20"/>
        </w:rPr>
        <w:t>4.4.1　フロントエンド（Angular 18）の対応</w:t>
      </w:r>
    </w:p>
    <w:p>
      <w:pPr>
        <w:pStyle w:val="ListBullet"/>
        <w:spacing w:before="20" w:after="40"/>
        <w:ind w:left="480" w:hanging="240"/>
      </w:pPr>
      <w:r>
        <w:rPr>
          <w:rFonts w:eastAsia="MS 明朝" w:ascii="MS 明朝" w:hAnsi="MS 明朝"/>
          <w:rFonts w:ascii="MS 明朝" w:hAnsi="MS 明朝"/>
          <w:b w:val="0"/>
          <w:sz w:val="20"/>
        </w:rPr>
        <w:t>入力フォームに FormControl の Validators を適用し、環境依存文字・半角カタカナを入力時にリアルタイムで検知・エラー表示する</w:t>
      </w:r>
    </w:p>
    <w:p>
      <w:pPr>
        <w:pStyle w:val="ListBullet"/>
        <w:spacing w:before="20" w:after="40"/>
        <w:ind w:left="480" w:hanging="240"/>
      </w:pPr>
      <w:r>
        <w:rPr>
          <w:rFonts w:eastAsia="MS 明朝" w:ascii="MS 明朝" w:hAnsi="MS 明朝"/>
          <w:rFonts w:ascii="MS 明朝" w:hAnsi="MS 明朝"/>
          <w:b w:val="0"/>
          <w:sz w:val="20"/>
        </w:rPr>
        <w:t>サーバサイドでも同等のバリデーション（FluentValidation）を実施し、二重防御とする</w:t>
      </w:r>
    </w:p>
    <w:p>
      <w:pPr>
        <w:spacing w:before="0" w:after="60"/>
      </w:pPr>
    </w:p>
    <w:p>
      <w:pPr>
        <w:pStyle w:val="Heading3"/>
        <w:spacing w:before="180" w:after="60"/>
      </w:pPr>
      <w:r>
        <w:rPr>
          <w:rFonts w:eastAsia="MS ゴシック" w:ascii="MS ゴシック" w:hAnsi="MS ゴシック"/>
          <w:rFonts w:ascii="MS ゴシック" w:hAnsi="MS ゴシック"/>
          <w:b/>
          <w:color w:val="2E75B6"/>
          <w:sz w:val="20"/>
        </w:rPr>
        <w:t>4.4.2　バックエンド（.NET 10）の対応</w:t>
      </w:r>
    </w:p>
    <w:p>
      <w:pPr>
        <w:pStyle w:val="ListBullet"/>
        <w:spacing w:before="20" w:after="40"/>
        <w:ind w:left="480" w:hanging="240"/>
      </w:pPr>
      <w:r>
        <w:rPr>
          <w:rFonts w:eastAsia="MS 明朝" w:ascii="MS 明朝" w:hAnsi="MS 明朝"/>
          <w:rFonts w:ascii="MS 明朝" w:hAnsi="MS 明朝"/>
          <w:b w:val="0"/>
          <w:sz w:val="20"/>
        </w:rPr>
        <w:t>FluentValidation の共通バリデータ（ForbiddenCharacterValidator）を実装し、全 DTO の文字列フィールドに適用する</w:t>
      </w:r>
    </w:p>
    <w:p>
      <w:pPr>
        <w:pStyle w:val="ListBullet"/>
        <w:spacing w:before="20" w:after="40"/>
        <w:ind w:left="480" w:hanging="240"/>
      </w:pPr>
      <w:r>
        <w:rPr>
          <w:rFonts w:eastAsia="MS 明朝" w:ascii="MS 明朝" w:hAnsi="MS 明朝"/>
          <w:rFonts w:ascii="MS 明朝" w:hAnsi="MS 明朝"/>
          <w:b w:val="0"/>
          <w:sz w:val="20"/>
        </w:rPr>
        <w:t>DB 照合順序は Japanese_CI_AS を使用し、文字コード体系は UTF-8 で統一する</w:t>
      </w:r>
    </w:p>
    <w:p>
      <w:pPr>
        <w:spacing w:before="0" w:after="60"/>
      </w:pPr>
    </w:p>
    <w:p>
      <w:r>
        <w:br w:type="page"/>
      </w:r>
    </w:p>
    <w:p>
      <w:pPr>
        <w:pStyle w:val="Heading1"/>
        <w:spacing w:before="360" w:after="120"/>
        <w:pBdr>
          <w:bottom w:val="single" w:sz="12" w:space="1" w:color="2E75B6"/>
        </w:pBdr>
      </w:pPr>
      <w:r>
        <w:rPr>
          <w:rFonts w:eastAsia="MS ゴシック" w:ascii="MS ゴシック" w:hAnsi="MS ゴシック"/>
          <w:rFonts w:ascii="MS ゴシック" w:hAnsi="MS ゴシック"/>
          <w:b/>
          <w:color w:val="1F4E79"/>
          <w:sz w:val="26"/>
        </w:rPr>
        <w:t>5．要件トレーサビリティ</w:t>
      </w:r>
    </w:p>
    <w:p>
      <w:pPr>
        <w:spacing w:before="0" w:after="60"/>
      </w:pPr>
      <w:r>
        <w:rPr>
          <w:rFonts w:eastAsia="MS 明朝" w:ascii="MS 明朝" w:hAnsi="MS 明朝"/>
          <w:rFonts w:ascii="MS 明朝" w:hAnsi="MS 明朝"/>
          <w:b w:val="0"/>
          <w:sz w:val="20"/>
        </w:rPr>
        <w:t>本章では、要件定義書 3.6「拡張性に関する事項」の各要件と本設計書の対応関係を示す。</w:t>
      </w:r>
    </w:p>
    <w:p>
      <w:pPr>
        <w:spacing w:before="0" w:after="60"/>
      </w:pPr>
    </w:p>
    <w:tbl>
      <w:tblPr>
        <w:tblW w:type="auto" w:w="0"/>
        <w:tblLook w:firstColumn="1" w:firstRow="1" w:lastColumn="0" w:lastRow="0" w:noHBand="0" w:noVBand="1" w:val="04A0"/>
        <w:tblW w:w="9355" w:type="dxa"/>
      </w:tblPr>
      <w:tblGrid>
        <w:gridCol w:w="850"/>
        <w:gridCol w:w="1134"/>
        <w:gridCol w:w="3402"/>
        <w:gridCol w:w="3969"/>
      </w:tblGrid>
      <w:tblGrid>
        <w:gridCol w:w="2339"/>
        <w:gridCol w:w="2339"/>
        <w:gridCol w:w="2339"/>
        <w:gridCol w:w="2339"/>
      </w:tblGrid>
      <w:tr>
        <w:tc>
          <w:tcPr>
            <w:tcW w:type="dxa" w:w="2339"/>
            <w:shd w:val="clear" w:color="auto" w:fill="1F4E79"/>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条番号</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要件番号</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要件概要</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本設計書の対応箇所</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3.6.1</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①</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利用率・データ量増加への柔軟な性能拡張</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3.1節・3.2節（スケーリング方針）</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3.6.1</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②</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クラウドマネージドサービス活用・特段の拡張性要件なし</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3.1節（設計方針）</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3.6.1</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③</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設定情報の外部化・一元化・機能の共通化</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3.3節（設定情報外部化）・4.2節（共通コンポーネント）</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3.6.1</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④</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定期運用報告でのリソース使用状況確認・報告</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3.4節（監視・報告）</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3.6.1</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⑤</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業務量変化に応じたリソース割り当て動的変更</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3.5節（変更手順）</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3.6.2</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①</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機能間連携の十分な確保・拡張容易な構成</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4.1節（アーキテクチャ設計）</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3.6.2</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②</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コンポーネントの再利用性確保</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4.2節（共通コンポーネント）</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3.6.2</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③</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系統だった命名ポリシーの策定</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4.3節（命名規則）</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85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3.6.2</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1134"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④</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402"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合字・半角カタカナ等の特殊文字の制限</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969"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8"/>
              </w:rPr>
              <w:t>4.4節（文字コード制限）</w:t>
            </w:r>
          </w:p>
        </w:tc>
      </w:tr>
    </w:tbl>
    <w:p>
      <w:pPr>
        <w:spacing w:before="0" w:after="60"/>
      </w:pPr>
    </w:p>
    <w:p>
      <w:r>
        <w:br w:type="page"/>
      </w:r>
    </w:p>
    <w:p>
      <w:pPr>
        <w:pStyle w:val="Heading1"/>
        <w:spacing w:before="360" w:after="120"/>
        <w:pBdr>
          <w:bottom w:val="single" w:sz="12" w:space="1" w:color="2E75B6"/>
        </w:pBdr>
      </w:pPr>
      <w:r>
        <w:rPr>
          <w:rFonts w:eastAsia="MS ゴシック" w:ascii="MS ゴシック" w:hAnsi="MS ゴシック"/>
          <w:rFonts w:ascii="MS ゴシック" w:hAnsi="MS ゴシック"/>
          <w:b/>
          <w:color w:val="1F4E79"/>
          <w:sz w:val="26"/>
        </w:rPr>
        <w:t>6．未確定事項・確認事項</w:t>
      </w:r>
    </w:p>
    <w:tbl>
      <w:tblPr>
        <w:tblW w:type="auto" w:w="0"/>
        <w:tblLook w:firstColumn="1" w:firstRow="1" w:lastColumn="0" w:lastRow="0" w:noHBand="0" w:noVBand="1" w:val="04A0"/>
        <w:tblW w:w="9355" w:type="dxa"/>
      </w:tblPr>
      <w:tblGrid>
        <w:gridCol w:w="680"/>
        <w:gridCol w:w="2268"/>
        <w:gridCol w:w="3685"/>
        <w:gridCol w:w="2721"/>
      </w:tblGrid>
      <w:tblGrid>
        <w:gridCol w:w="2339"/>
        <w:gridCol w:w="2339"/>
        <w:gridCol w:w="2339"/>
        <w:gridCol w:w="2339"/>
      </w:tblGrid>
      <w:tr>
        <w:tc>
          <w:tcPr>
            <w:tcW w:type="dxa" w:w="2339"/>
            <w:shd w:val="clear" w:color="auto" w:fill="1F4E79"/>
            <w:tcBorders>
              <w:top w:val="single" w:sz="4" w:space="0" w:color="BFBFBF"/>
              <w:left w:val="single" w:sz="4" w:space="0" w:color="BFBFBF"/>
              <w:bottom w:val="single" w:sz="4" w:space="0" w:color="BFBFBF"/>
              <w:right w:val="single" w:sz="4" w:space="0" w:color="BFBFBF"/>
            </w:tcBorders>
            <w:tcW w:w="680"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No.</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確認事項</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現時点の想定</w:t>
            </w:r>
          </w:p>
        </w:tc>
        <w:tc>
          <w:tcPr>
            <w:tcW w:type="dxa" w:w="2339"/>
            <w:shd w:val="clear" w:color="auto" w:fill="1F4E79"/>
            <w:tcBorders>
              <w:top w:val="single" w:sz="4" w:space="0" w:color="BFBFBF"/>
              <w:left w:val="single" w:sz="4" w:space="0" w:color="BFBFBF"/>
              <w:bottom w:val="single" w:sz="4" w:space="0" w:color="BFBFBF"/>
              <w:right w:val="single" w:sz="4" w:space="0" w:color="BFBFBF"/>
            </w:tcBorders>
            <w:tcW w:w="2721" w:type="dxa"/>
            <w:tcMar>
              <w:top w:w="60" w:type="dxa"/>
              <w:bottom w:w="60" w:type="dxa"/>
              <w:left w:w="120" w:type="dxa"/>
              <w:right w:w="120" w:type="dxa"/>
            </w:tcMar>
            <w:vAlign w:val="center"/>
          </w:tcPr>
          <w:p>
            <w:pPr>
              <w:jc w:val="center"/>
            </w:pPr>
            <w:r/>
            <w:r>
              <w:rPr>
                <w:rFonts w:eastAsia="MS ゴシック" w:ascii="MS ゴシック" w:hAnsi="MS ゴシック"/>
                <w:rFonts w:ascii="MS ゴシック" w:hAnsi="MS ゴシック"/>
                <w:b/>
                <w:color w:val="FFFFFF"/>
                <w:sz w:val="18"/>
              </w:rPr>
              <w:t>確認先・期限</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68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1</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財務会計システム（BASE-One）のファイル転送方式</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SFTP を想定しているが API 対応の可否含め未確認</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72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JAFFIC・財務会計システム担当</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68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2</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AnyForm OCR CSV の文字コード</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Shift-JIS または UTF-8（BOM付き）を想定</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72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ハンモック社との仕様確認</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68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3</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Log Analytics KQLクエリ・カスタムテーブルの利用可否</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JAFFIC クラウド DCR 申請手順の確認が必要</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72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JA FFICクラウド基盤事業者</w:t>
            </w:r>
          </w:p>
        </w:tc>
      </w:tr>
      <w:tr>
        <w:tc>
          <w:tcPr>
            <w:tcW w:type="dxa" w:w="2339"/>
            <w:shd w:val="clear" w:color="auto" w:fill="DEEAF1"/>
            <w:tcBorders>
              <w:top w:val="single" w:sz="4" w:space="0" w:color="BFBFBF"/>
              <w:left w:val="single" w:sz="4" w:space="0" w:color="BFBFBF"/>
              <w:bottom w:val="single" w:sz="4" w:space="0" w:color="BFBFBF"/>
              <w:right w:val="single" w:sz="4" w:space="0" w:color="BFBFBF"/>
            </w:tcBorders>
            <w:tcW w:w="68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4</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VM スケールアップ時のメンテナンス申請要件</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停止を伴う場合 JAFFIC 事業者への申請が必要な可能性あり</w:t>
            </w:r>
          </w:p>
        </w:tc>
        <w:tc>
          <w:tcPr>
            <w:tcW w:type="dxa" w:w="2339"/>
            <w:shd w:val="clear" w:color="auto" w:fill="DEEAF1"/>
            <w:tcBorders>
              <w:top w:val="single" w:sz="4" w:space="0" w:color="BFBFBF"/>
              <w:left w:val="single" w:sz="4" w:space="0" w:color="BFBFBF"/>
              <w:bottom w:val="single" w:sz="4" w:space="0" w:color="BFBFBF"/>
              <w:right w:val="single" w:sz="4" w:space="0" w:color="BFBFBF"/>
            </w:tcBorders>
            <w:tcW w:w="272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JA FFICクラウド基盤事業者</w:t>
            </w:r>
          </w:p>
        </w:tc>
      </w:tr>
      <w:tr>
        <w:tc>
          <w:tcPr>
            <w:tcW w:type="dxa" w:w="2339"/>
            <w:shd w:val="clear" w:color="auto" w:fill="FFFFFF"/>
            <w:tcBorders>
              <w:top w:val="single" w:sz="4" w:space="0" w:color="BFBFBF"/>
              <w:left w:val="single" w:sz="4" w:space="0" w:color="BFBFBF"/>
              <w:bottom w:val="single" w:sz="4" w:space="0" w:color="BFBFBF"/>
              <w:right w:val="single" w:sz="4" w:space="0" w:color="BFBFBF"/>
            </w:tcBorders>
            <w:tcW w:w="680"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5</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268"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最大同時接続ユーザー数（ピーク値）</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3685"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約40名全員が同時利用すると想定（未確認）</w:t>
            </w:r>
          </w:p>
        </w:tc>
        <w:tc>
          <w:tcPr>
            <w:tcW w:type="dxa" w:w="2339"/>
            <w:shd w:val="clear" w:color="auto" w:fill="FFFFFF"/>
            <w:tcBorders>
              <w:top w:val="single" w:sz="4" w:space="0" w:color="BFBFBF"/>
              <w:left w:val="single" w:sz="4" w:space="0" w:color="BFBFBF"/>
              <w:bottom w:val="single" w:sz="4" w:space="0" w:color="BFBFBF"/>
              <w:right w:val="single" w:sz="4" w:space="0" w:color="BFBFBF"/>
            </w:tcBorders>
            <w:tcW w:w="2721" w:type="dxa"/>
            <w:tcMar>
              <w:top w:w="60" w:type="dxa"/>
              <w:bottom w:w="60" w:type="dxa"/>
              <w:left w:w="120" w:type="dxa"/>
              <w:right w:w="120" w:type="dxa"/>
            </w:tcMar>
            <w:vAlign w:val="center"/>
          </w:tcPr>
          <w:p>
            <w:r/>
            <w:r>
              <w:rPr>
                <w:rFonts w:eastAsia="MS 明朝" w:ascii="MS 明朝" w:hAnsi="MS 明朝"/>
                <w:rFonts w:ascii="MS 明朝" w:hAnsi="MS 明朝"/>
                <w:b w:val="0"/>
                <w:color w:val="000000"/>
                <w:sz w:val="17"/>
              </w:rPr>
              <w:t>信用基金（要ヒアリング）</w:t>
            </w:r>
          </w:p>
        </w:tc>
      </w:tr>
    </w:tbl>
    <w:p>
      <w:pPr>
        <w:spacing w:before="0" w:after="60"/>
      </w:pPr>
    </w:p>
    <w:p>
      <w:pPr>
        <w:spacing w:before="0" w:after="60"/>
      </w:pPr>
    </w:p>
    <w:p>
      <w:pPr>
        <w:jc w:val="center"/>
        <w:spacing w:before="240" w:after="240"/>
      </w:pPr>
      <w:r>
        <w:rPr>
          <w:rFonts w:eastAsia="MS ゴシック" w:ascii="MS ゴシック" w:hAnsi="MS ゴシック"/>
          <w:rFonts w:ascii="MS ゴシック" w:hAnsi="MS ゴシック"/>
          <w:b/>
          <w:color w:val="1F4E79"/>
          <w:sz w:val="24"/>
        </w:rPr>
        <w:t>— 以上 —</w:t>
      </w: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1" w:space="1" w:color="FFFFFF"/>
      </w:pBdr>
    </w:pPr>
    <w:r>
      <w:rPr>
        <w:rFonts w:eastAsia="MS 明朝" w:ascii="MS 明朝" w:hAnsi="MS 明朝"/>
        <w:rFonts w:ascii="MS 明朝" w:hAnsi="MS 明朝"/>
        <w:b w:val="0"/>
        <w:color w:val="595959"/>
        <w:sz w:val="16"/>
      </w:rPr>
      <w:t>© OKI　機密情報</w:t>
    </w:r>
  </w:p>
  <w:p>
    <w:pPr>
      <w:jc w:val="center"/>
    </w:pPr>
    <w:r>
      <w:rPr>
        <w:rFonts w:ascii="MS 明朝" w:hAnsi="MS 明朝"/>
        <w:color w:val="595959"/>
        <w:sz w:val="16"/>
      </w:rPr>
      <w:t xml:space="preserve">- </w:t>
    </w:r>
    <w:r>
      <w:fldChar w:fldCharType="begin"/>
    </w:r>
    <w:r>
      <w:instrText>PAGE</w:instrText>
    </w:r>
    <w:r>
      <w:fldChar w:fldCharType="end"/>
    </w:r>
    <w:r>
      <w:rPr>
        <w:rFonts w:ascii="MS 明朝" w:hAnsi="MS 明朝"/>
        <w:color w:val="595959"/>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1F4E79"/>
      </w:pBdr>
    </w:pPr>
    <w:r>
      <w:rPr>
        <w:rFonts w:eastAsia="MS ゴシック" w:ascii="MS ゴシック" w:hAnsi="MS ゴシック"/>
        <w:rFonts w:ascii="MS ゴシック" w:hAnsi="MS ゴシック"/>
        <w:b w:val="0"/>
        <w:color w:val="595959"/>
        <w:sz w:val="16"/>
      </w:rPr>
      <w:t>林業信用基金基幹システム移行プロジェクト　拡張性設計書　v1.0　【社外秘】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明朝" w:hAnsi="MS 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