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120" w:before="0"/>
        <w:jc w:val="center"/>
      </w:pPr>
      <w:r>
        <w:rPr>
          <w:rFonts w:ascii="Meiryo" w:cs="Meiryo" w:eastAsia="Meiryo" w:hAnsi="Meiryo"/>
          <w:b/>
          <w:bCs/>
          <w:color w:val="1F3864"/>
          <w:sz w:val="40"/>
          <w:szCs w:val="40"/>
        </w:rPr>
        <w:t xml:space="preserve">外部インタフェース設計書</w:t>
      </w:r>
    </w:p>
    <w:p>
      <w:pPr>
        <w:spacing w:after="240" w:before="0"/>
        <w:jc w:val="center"/>
      </w:pPr>
      <w:r>
        <w:rPr>
          <w:rFonts w:ascii="Meiryo" w:cs="Meiryo" w:eastAsia="Meiryo" w:hAnsi="Meiryo"/>
          <w:color w:val="2E75B6"/>
          <w:sz w:val="28"/>
          <w:szCs w:val="28"/>
        </w:rPr>
        <w:t xml:space="preserve">格付判定システム連携（WebAPI方式）</w:t>
      </w:r>
    </w:p>
    <w:p>
      <w:pPr>
        <w:spacing w:after="0" w:before="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ドキュメント番号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IF-EXT-001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0.5（確認事項整理版）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作成日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2026年5月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対象サブシステム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HOSHO（保証）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★TBD項目あり（顧客・事業者確認中）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【更新履歴】</w:t>
            </w:r>
          </w:p>
          <w:p>
            <w:pPr>
              <w:spacing w:after="40" w:before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v0.1：初版（骨格版）</w:t>
            </w:r>
          </w:p>
          <w:p>
            <w:pPr>
              <w:spacing w:after="40" w:before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v0.2：格付判定側「API利用および認証・認可定義書」反映 — APIM削除・VPN→Entra ID認証に変更</w:t>
            </w:r>
          </w:p>
          <w:p>
            <w:pPr>
              <w:spacing w:after="40" w:before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v0.3：格付判定側ヒアリング回答反映 — エンドポイント・APIパス・エラーコード確定</w:t>
            </w:r>
          </w:p>
          <w:p>
            <w:pPr>
              <w:spacing w:after="40" w:before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v0.4：格付判定サービス基本設計書反映 — 接続方式・認証・リクエスト/レスポンス項目を更新</w:t>
            </w:r>
          </w:p>
          <w:p>
            <w:pPr>
              <w:spacing w:after="40" w:before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v0.5：確認事項整理 — 以下を修正</w:t>
            </w:r>
          </w:p>
          <w:p>
            <w:pPr>
              <w:spacing w:after="40" w:before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  ・接続方式：VNet-to-VNet VPN → Microsoft Entra Private Access（格付判定側が設定）に修正</w:t>
            </w:r>
          </w:p>
          <w:p>
            <w:pPr>
              <w:spacing w:after="40" w:before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  ・認証：Managed Identity削除 → client_secret方式（Service Principal）に統一</w:t>
            </w:r>
          </w:p>
          <w:p>
            <w:pPr>
              <w:spacing w:after="40" w:before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  ・IF項目定義書：提供済みに変更</w:t>
            </w:r>
          </w:p>
          <w:p>
            <w:pPr>
              <w:spacing w:after="40" w:before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  ・確認事項：インフラ事業者確認項目を削除（格付判定側作業のため）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/>
        </w:pBdr>
        <w:spacing w:after="120" w:before="360"/>
      </w:pPr>
      <w:r>
        <w:rPr>
          <w:rFonts w:ascii="Meiryo" w:cs="Meiryo" w:eastAsia="Meiryo" w:hAnsi="Meiryo"/>
          <w:b/>
          <w:bCs/>
          <w:color w:val="1F3864"/>
          <w:sz w:val="28"/>
          <w:szCs w:val="28"/>
        </w:rPr>
        <w:t xml:space="preserve">1. 概要</w:t>
      </w:r>
    </w:p>
    <w:p>
      <w:pPr>
        <w:pStyle w:val="Heading2"/>
        <w:spacing w:after="80" w:before="24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1.1 目的</w:t>
      </w:r>
    </w:p>
    <w:p>
      <w:pPr>
        <w:spacing w:after="60" w:before="60"/>
      </w:pPr>
      <w:r>
        <w:rPr>
          <w:rFonts w:ascii="Meiryo" w:cs="Meiryo" w:eastAsia="Meiryo" w:hAnsi="Meiryo"/>
          <w:sz w:val="18"/>
          <w:szCs w:val="18"/>
        </w:rPr>
        <w:t xml:space="preserve">本設計書は、林業部門基幹システム（新システム）と格付判定システムとの間のWebAPI連携に関する設計方針・仕様を定めるものである。格付判定システムはAzure App Service上で提供されるREST形式の同期型WebAPIであり、財務情報等を入力として格付結果を出力する。</w:t>
      </w:r>
    </w:p>
    <w:p>
      <w:pPr>
        <w:pStyle w:val="Heading2"/>
        <w:spacing w:after="80" w:before="24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1.2 システム構成・前提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実行基盤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Azure App Service（FEG Azure基盤）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ネットワーク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Private Endpoint（Public Access無効）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接続方式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Microsoft Entra Private Access（Global Secure Access）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認証方式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OAuth 2.0（Client Credentials）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ID基盤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Microsoft Entra ID（格付判定側テナント）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データ形式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JSON（UTF-8）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通信プロトコル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HTTPS（TLS 1.2以上）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APIM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不要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mTLS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使用しない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WebサービスUtilizer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別VNet上のサーバアプリケーション（=新システム）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1.3 アーキテクチャ概要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JAFFIC Azure基盤                Entra ID         FEG Azure基盤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┌─────────────────────┐            │         ┌──────────────────────┐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│  Azure VM            │   ①認証   │         │  Azure App Service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│  林業業務システム     │──────────&gt;│         │  格付判定サービス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│  （プログラム）       │   ②Token  │         │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│                      │&lt;──────────│         │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│   IF ─Token+判定材料─────────────────── IF │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│   IF &lt;────判定結果───────────────────── IF │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└─────────────────────┘                       └──────────────────────┘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│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└──── Microsoft Entra Private Access 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（Global Secure Access / Private Endpoint）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/>
        </w:pBdr>
        <w:spacing w:after="120" w:before="360"/>
      </w:pPr>
      <w:r>
        <w:rPr>
          <w:rFonts w:ascii="Meiryo" w:cs="Meiryo" w:eastAsia="Meiryo" w:hAnsi="Meiryo"/>
          <w:b/>
          <w:bCs/>
          <w:color w:val="1F3864"/>
          <w:sz w:val="28"/>
          <w:szCs w:val="28"/>
        </w:rPr>
        <w:t xml:space="preserve">2. 接続方式</w:t>
      </w:r>
    </w:p>
    <w:p>
      <w:pPr>
        <w:pStyle w:val="Heading2"/>
        <w:spacing w:after="80" w:before="24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2.1 Microsoft Entra Private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■ VNet-to-VNet VPNは使用しない</w:t>
            </w:r>
          </w:p>
          <w:p>
            <w:pPr>
              <w:spacing w:after="40" w:before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格付判定サービスはAzure Private Endpoint経由の通信のみ許可（Public Access無効）。</w:t>
            </w:r>
          </w:p>
          <w:p>
            <w:pPr>
              <w:spacing w:after="40" w:before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JAFFIC Azure基盤からFEG Azure基盤への接続はMicrosoft Entra Private Access（Global Secure Access）を使用する。</w:t>
            </w:r>
          </w:p>
          <w:p>
            <w:pPr>
              <w:spacing w:after="40" w:before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⚠ JAFFICクラウド環境でのMicrosoft Entra Private Access利用可否は★インフラ事業者に確認要。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接続方式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Microsoft Entra Private Access（Global Secure Access）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VPN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不要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Public Access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無効（Private Endpointのみ許可）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DNS解決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Private EndpointのプライベートIPへ名前解決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インターネット経由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不可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新システム側の作業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なし（格付判定側がPrivate Endpoint・Entra Private Accessを設定）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/>
        </w:pBdr>
        <w:spacing w:after="120" w:before="360"/>
      </w:pPr>
      <w:r>
        <w:rPr>
          <w:rFonts w:ascii="Meiryo" w:cs="Meiryo" w:eastAsia="Meiryo" w:hAnsi="Meiryo"/>
          <w:b/>
          <w:bCs/>
          <w:color w:val="1F3864"/>
          <w:sz w:val="28"/>
          <w:szCs w:val="28"/>
        </w:rPr>
        <w:t xml:space="preserve">3. 認証設計</w:t>
      </w:r>
    </w:p>
    <w:p>
      <w:pPr>
        <w:pStyle w:val="Heading2"/>
        <w:spacing w:after="80" w:before="24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3.1 認証方式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認証基盤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Microsoft Entra ID（格付判定側テナント）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プロトコル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OAuth 2.0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フロー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Client Credentials Flow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認証主体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アプリケーション（人のアカウントは使用しない）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ユーザー認証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使用しない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3.2 トークン取得</w:t>
      </w:r>
    </w:p>
    <w:p>
      <w:pPr>
        <w:spacing w:after="60" w:before="60"/>
      </w:pPr>
      <w:r>
        <w:rPr>
          <w:rFonts w:ascii="Meiryo" w:cs="Meiryo" w:eastAsia="Meiryo" w:hAnsi="Meiryo"/>
          <w:sz w:val="18"/>
          <w:szCs w:val="18"/>
        </w:rPr>
        <w:t xml:space="preserve">トークン発行エンドポイント：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POST https://login.microsoftonline.com/{tenant-id}/oauth2/v2.0/token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Content-Type: application/x-www-form-urlencoded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client_id=&lt;client-id&gt;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&amp;client_secret=&lt;client-secret&gt;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&amp;scope=api://&lt;api-app-id&gt;/.default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&amp;grant_type=client_credentials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※ トークン取得通信はMicrosoft Entra Private Accessにより保護される。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⚠ client_secretについて</w:t>
            </w:r>
          </w:p>
          <w:p>
            <w:pPr>
              <w:spacing w:after="40" w:before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格付判定側の仕様書にはclient_secretによる認証が記載されている。</w:t>
            </w:r>
          </w:p>
          <w:p>
            <w:pPr>
              <w:spacing w:after="40" w:before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Managed Identityが利用できるかは格付判定側に確認が必要（★TBD）。</w:t>
            </w:r>
          </w:p>
          <w:p>
            <w:pPr>
              <w:spacing w:after="40" w:before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・Managed Identity対応の場合 → client_secretは不要。DefaultAzureCredentialで自動取得。</w:t>
            </w:r>
          </w:p>
          <w:p>
            <w:pPr>
              <w:spacing w:after="40" w:before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・Service Principal（client_secret）の場合 → client_secretをAzure Key Vaultで管理する。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3.3 格付判定側から提供される情報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提供情報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tenant-id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格付判定側Entra IDテナントID（UUID 36文字）★払い出し待ち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client-id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新システム向けクライアントID（UUID 36文字）★払い出し待ち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client-secret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クライアントシークレット（★払い出し待ち）→ Azure Key Vaultで管理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api-app-id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格付判定APIのApplication ID（スコープ用）★払い出し待ち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3.4 APIリクエストヘッダ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Authorization: Bearer &lt;access_token&gt;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Content-Type: application/json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/>
        </w:pBdr>
        <w:spacing w:after="120" w:before="360"/>
      </w:pPr>
      <w:r>
        <w:rPr>
          <w:rFonts w:ascii="Meiryo" w:cs="Meiryo" w:eastAsia="Meiryo" w:hAnsi="Meiryo"/>
          <w:b/>
          <w:bCs/>
          <w:color w:val="1F3864"/>
          <w:sz w:val="28"/>
          <w:szCs w:val="28"/>
        </w:rPr>
        <w:t xml:space="preserve">4. API仕様</w:t>
      </w:r>
    </w:p>
    <w:p>
      <w:pPr>
        <w:pStyle w:val="Heading2"/>
        <w:spacing w:after="80" w:before="24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4.1 API一覧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00"/>
        <w:gridCol w:w="2860"/>
      </w:tblGrid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API名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メソッド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パス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処理方式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データ処理API（格付判定）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/api/v1/process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同期処理（即時返却）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ヘルスチェック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/api/v1/health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同期（格付判定側メンテナンス用）</w:t>
            </w:r>
          </w:p>
        </w:tc>
      </w:tr>
    </w:tbl>
    <w:p>
      <w:pPr>
        <w:spacing w:after="60" w:before="60"/>
      </w:pPr>
      <w:r>
        <w:rPr>
          <w:rFonts w:ascii="Meiryo" w:cs="Meiryo" w:eastAsia="Meiryo" w:hAnsi="Meiryo"/>
          <w:sz w:val="18"/>
          <w:szCs w:val="18"/>
        </w:rPr>
        <w:t xml:space="preserve">※ ユーザー向けAPIはデータ処理APIの1本のみ。ヘルスチェックは格付判定側でのみ使用する。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4.2 エンドポイント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ベースURL（仮）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https://&lt;app-name&gt;.azurewebsites.net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正式URL提供予定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本番環境構築時に確定（★2027年5月予定）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格付判定APIパス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POST /api/v1/process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注意事項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設計上はURLを後から変更できるよう実装すること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4.3 処理方式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処理方式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同期処理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レスポンス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処理完了後、即時返却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非同期処理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本仕様では未対応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/>
        </w:pBdr>
        <w:spacing w:after="120" w:before="360"/>
      </w:pPr>
      <w:r>
        <w:rPr>
          <w:rFonts w:ascii="Meiryo" w:cs="Meiryo" w:eastAsia="Meiryo" w:hAnsi="Meiryo"/>
          <w:b/>
          <w:bCs/>
          <w:color w:val="1F3864"/>
          <w:sz w:val="28"/>
          <w:szCs w:val="28"/>
        </w:rPr>
        <w:t xml:space="preserve">5. リクエスト仕様</w:t>
      </w:r>
    </w:p>
    <w:p>
      <w:pPr>
        <w:pStyle w:val="Heading2"/>
        <w:spacing w:after="80" w:before="24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5.1 JSONボディ構造（概要）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"requestId":     "123e4567-e89b-12d3-a456-426614174000",  // UUID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"timestamp":     "2026-04-17T12:00:00Z",                  // ISO8601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"モデル実行区分": "保証審査",                              // or "随時格付"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"出資者コード":   "99-9-9999",                             // 9桁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"基準日":        "2026-04-17T12:00:00Z",                  // ISO8601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"BS":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"BS当期":  { .... BS課目 ....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"BS前期":  { .... BS課目 ....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"BS実態値":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"当期":    { .... BS課目 ....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"PL":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"PL当期":  { .... PL課目 ....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"PL前期":  { .... PL課目 ....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"PL前々期":{ .... PL課目 ....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"定性情報":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"TS当期":  { .... 定性課目 ....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"TS前期":  { .... 定性課目 ....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"審査情報":           { .... 審査（随時格付データ）項目 ....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"自己査定格付履歴":   { "JS当期":{...}, "JS前期":{...}, "JS前々期":{...}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"保証審査格付履歴":   { "SN当期":{...}, "SN前期":{...}, "SN前々期":{...}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"随時格付格付履歴":   { "ZK当期":{...}, "ZK前期":{...}, "ZK前々期":{...}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5.2 リクエスト共通項目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500"/>
        <w:gridCol w:w="800"/>
        <w:gridCol w:w="4060"/>
      </w:tblGrid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項目名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必須</w:t>
            </w:r>
          </w:p>
        </w:tc>
        <w:tc>
          <w:tcPr>
            <w:tcW w:type="dxa" w:w="4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requestId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string(36)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4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呼び出し元で発行した一意な識別子（UUID）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string(ISO8601)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4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リクエスト日時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モデル実行区分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string(4)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4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"保証審査" または "随時格付" を設定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出資者コード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string(9)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4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法人・個人の判断をするコード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基準日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string(ISO8601)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4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モデル実行区分により異なる（詳細は5.3参照）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BS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4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直近2期分のBS表面値（BS当期・BS前期）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BS実態値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4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直近1期分のBS実態値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PL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直近3期分のPL情報（PL当期・前期・前々期）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定性情報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4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直近2期分の定性情報（TS当期・TS前期）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審査情報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4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保証審査または随時格付データ項目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自己査定格付履歴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直近3期分の債務者区分（JS当期・前期・前々期）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保証審査格付履歴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直近3期分の格付（SN当期・前期・前々期）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随時格付格付履歴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直近3期分の格付（ZK当期・前期・前々期）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5.3 基準日の設定ルール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モデル実行区分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基準日の設定内容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"保証審査"（審査対象が保証の場合)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保証データの受付日（apdate）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"保証審査"（審査対象が保証変更の場合）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保証変更データの受付日（apdate）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"随時格付"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随時格付情報の基準日（kijnDate）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5.4 BS項目（概要）</w:t>
      </w:r>
    </w:p>
    <w:p>
      <w:pPr>
        <w:spacing w:after="60" w:before="60"/>
      </w:pPr>
      <w:r>
        <w:rPr>
          <w:rFonts w:ascii="Meiryo" w:cs="Meiryo" w:eastAsia="Meiryo" w:hAnsi="Meiryo"/>
          <w:sz w:val="18"/>
          <w:szCs w:val="18"/>
        </w:rPr>
        <w:t xml:space="preserve">対象テーブル：財務BS（T_BS）。直近2期分（BS当期・BS前期）を連携。BS実態値は申告・粉飾補正区分=1の直近1期分。</w:t>
      </w:r>
    </w:p>
    <w:p>
      <w:pPr>
        <w:spacing w:after="60" w:before="60"/>
      </w:pPr>
      <w:r>
        <w:rPr>
          <w:rFonts w:ascii="Meiryo" w:cs="Meiryo" w:eastAsia="Meiryo" w:hAnsi="Meiryo"/>
          <w:sz w:val="18"/>
          <w:szCs w:val="18"/>
        </w:rPr>
        <w:t xml:space="preserve">主要必須項目：BS決算情報期・BS現金預金・BS受取手形・BS売掛金・BS棚卸資産・BS固定資産計・BS支払手形・BS買掛金・BS短期借入金・BS長期借入金・BS資本金・BS剰余金・BS繰越欠損金 等（全102項目 — 詳細はIF項目定義書参照★TBD）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5.5 PL項目（概要）</w:t>
      </w:r>
    </w:p>
    <w:p>
      <w:pPr>
        <w:spacing w:after="60" w:before="60"/>
      </w:pPr>
      <w:r>
        <w:rPr>
          <w:rFonts w:ascii="Meiryo" w:cs="Meiryo" w:eastAsia="Meiryo" w:hAnsi="Meiryo"/>
          <w:sz w:val="18"/>
          <w:szCs w:val="18"/>
        </w:rPr>
        <w:t xml:space="preserve">対象テーブル：財務PL（T_PL）。直近3期分（PL当期・前期・前々期）を連携。</w:t>
      </w:r>
    </w:p>
    <w:p>
      <w:pPr>
        <w:spacing w:after="60" w:before="60"/>
      </w:pPr>
      <w:r>
        <w:rPr>
          <w:rFonts w:ascii="Meiryo" w:cs="Meiryo" w:eastAsia="Meiryo" w:hAnsi="Meiryo"/>
          <w:sz w:val="18"/>
          <w:szCs w:val="18"/>
        </w:rPr>
        <w:t xml:space="preserve">主要項目：PL決算情報期・PL売上・PL月商・PL売上原価計・PL売上高総利益・PL販売管理費・PL営業利益・PL経常利益・PL当期利益・PL減価償却費 等（全16項目 — 詳細はIF項目定義書参照★TBD）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5.6 定性情報・審査情報・格付履歴（概要）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区分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対象テーブル</w:t>
            </w:r>
          </w:p>
        </w:tc>
        <w:tc>
          <w:tcPr>
            <w:tcW w:type="dxa" w:w="4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主要項目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定性情報（TS）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定性情報（T_TEISEI）</w:t>
            </w:r>
          </w:p>
        </w:tc>
        <w:tc>
          <w:tcPr>
            <w:tcW w:type="dxa" w:w="4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kessanki・jyokenkanawa（条件緩和債権 01:有/02:無）・entaijyokyo（延滞状況 01:有/02:無）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審査情報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T_HOSYOSINSA または T_KAKUDUKE</w:t>
            </w:r>
          </w:p>
        </w:tc>
        <w:tc>
          <w:tcPr>
            <w:tcW w:type="dxa" w:w="4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jyokenkanawa・entaijyokyo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自己査定履歴（JS）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自己査定マスタ（T_自己査定）</w:t>
            </w:r>
          </w:p>
        </w:tc>
        <w:tc>
          <w:tcPr>
            <w:tcW w:type="dxa" w:w="4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決算年月・最終債務者区分（直近3期分）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保証審査格付履歴（SN）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保証審査（T_HOSYOSINSA）</w:t>
            </w:r>
          </w:p>
        </w:tc>
        <w:tc>
          <w:tcPr>
            <w:tcW w:type="dxa" w:w="4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prevkessan・RATING3rd・RTINGFINAL（直近3期分）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随時格付履歴（ZK）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随時格付（T_KAKUDUKE）</w:t>
            </w:r>
          </w:p>
        </w:tc>
        <w:tc>
          <w:tcPr>
            <w:tcW w:type="dxa" w:w="4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prevkessan・RATING3rd・RTINGFINAL（直近3期分）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/>
        </w:pBdr>
        <w:spacing w:after="120" w:before="360"/>
      </w:pPr>
      <w:r>
        <w:rPr>
          <w:rFonts w:ascii="Meiryo" w:cs="Meiryo" w:eastAsia="Meiryo" w:hAnsi="Meiryo"/>
          <w:b/>
          <w:bCs/>
          <w:color w:val="1F3864"/>
          <w:sz w:val="28"/>
          <w:szCs w:val="28"/>
        </w:rPr>
        <w:t xml:space="preserve">6. レスポンス仕様</w:t>
      </w:r>
    </w:p>
    <w:p>
      <w:pPr>
        <w:pStyle w:val="Heading2"/>
        <w:spacing w:after="80" w:before="24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6.1 正常時レスポンス（HTTP 200）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"requestId":    "123e4567-e89b-12d3-a456-426614174000",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"status":       "success",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"result":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"processedAt": "2026-04-17T12:00:02Z",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"審査情報":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.... 保証審査データ項目 ....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"財務指標情報":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.... 財務指標項目 ....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6.2 正常時レスポンス項目定義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500"/>
        <w:gridCol w:w="800"/>
        <w:gridCol w:w="4060"/>
      </w:tblGrid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項目名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必須</w:t>
            </w:r>
          </w:p>
        </w:tc>
        <w:tc>
          <w:tcPr>
            <w:tcW w:type="dxa" w:w="4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requestId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string(36)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4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呼び出し元で発行した一意な識別子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string(7)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4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"success"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processedAt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string(ISO8601)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4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回答日時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審査情報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保証審査データ項目（詳細はIF項目定義書★TBD）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財務指標情報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財務指標項目（詳細はIF項目定義書★TBD）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6.3 審査情報レスポンス主要項目</w:t>
      </w:r>
    </w:p>
    <w:p>
      <w:pPr>
        <w:spacing w:after="60" w:before="60"/>
      </w:pPr>
      <w:r>
        <w:rPr>
          <w:rFonts w:ascii="Meiryo" w:cs="Meiryo" w:eastAsia="Meiryo" w:hAnsi="Meiryo"/>
          <w:sz w:val="18"/>
          <w:szCs w:val="18"/>
        </w:rPr>
        <w:t xml:space="preserve">審査情報には以下の項目が含まれる（全110項目超 — 詳細はIF項目定義書参照★TBD）。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500"/>
        <w:gridCol w:w="800"/>
        <w:gridCol w:w="4060"/>
      </w:tblGrid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項目名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必須</w:t>
            </w:r>
          </w:p>
        </w:tc>
        <w:tc>
          <w:tcPr>
            <w:tcW w:type="dxa" w:w="4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ankenkind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object(1)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4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出資者コード4桁目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自動審査実行日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string(ISO8601)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4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日付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PD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4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倍精度浮動小数（有効桁数15桁）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P1st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4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倍精度浮動小数（有効桁数15桁）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RATING3rd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string(2)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4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格付結果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RTINGFINAL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string(2)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4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最終格付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...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...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...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全110項目（詳細はIF項目定義書参照）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6.4 財務指標レスポンス主要項目</w:t>
      </w:r>
    </w:p>
    <w:p>
      <w:pPr>
        <w:spacing w:after="60" w:before="60"/>
      </w:pPr>
      <w:r>
        <w:rPr>
          <w:rFonts w:ascii="Meiryo" w:cs="Meiryo" w:eastAsia="Meiryo" w:hAnsi="Meiryo"/>
          <w:sz w:val="18"/>
          <w:szCs w:val="18"/>
        </w:rPr>
        <w:t xml:space="preserve">財務指標情報には以下の項目が含まれる（全92項目 — 詳細はIF項目定義書参照★TBD）。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500"/>
        <w:gridCol w:w="4360"/>
      </w:tblGrid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項目名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4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有利子負債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倍精度浮動小数（有効桁数15桁）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月商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倍精度浮動小数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売上高営業外費用率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倍精度浮動小数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売上高純金利負担率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倍精度浮動小数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有利子負債平均金利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倍精度浮動小数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...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...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全92項目（詳細はIF項目定義書参照）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6.5 異常時レスポンス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"requestId": "123e4567-e89b-12d3-a456-426614174000",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"status":    "error",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"error":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"code":    "INVALID_PARAMETER",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"message": "項目名:XXXXXXXX NULL値は認めていません"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/>
        </w:pBdr>
        <w:spacing w:after="120" w:before="360"/>
      </w:pPr>
      <w:r>
        <w:rPr>
          <w:rFonts w:ascii="Meiryo" w:cs="Meiryo" w:eastAsia="Meiryo" w:hAnsi="Meiryo"/>
          <w:b/>
          <w:bCs/>
          <w:color w:val="1F3864"/>
          <w:sz w:val="28"/>
          <w:szCs w:val="28"/>
        </w:rPr>
        <w:t xml:space="preserve">7. エラー・例外処理設計</w:t>
      </w:r>
    </w:p>
    <w:p>
      <w:pPr>
        <w:pStyle w:val="Heading2"/>
        <w:spacing w:after="80" w:before="24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7.1 エラーコード一覧（HTTPステータス）</w:t>
      </w:r>
    </w:p>
    <w:p>
      <w:pPr>
        <w:spacing w:after="60" w:before="60"/>
      </w:pPr>
      <w:r>
        <w:rPr>
          <w:rFonts w:ascii="Meiryo" w:cs="Meiryo" w:eastAsia="Meiryo" w:hAnsi="Meiryo"/>
          <w:sz w:val="18"/>
          <w:szCs w:val="18"/>
        </w:rPr>
        <w:t xml:space="preserve">格付判定システムから返却されるHTTPステータスコードは以下の通り。400/401/403/404/500はPollyリトライ対象外とする。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HTTPステータス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新システム側の対処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リクエスト形式不正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リトライ対象外。FluentValidationで送信前バリデーション実施。errListで詳細表示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トークン未指定・無効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リトライ対象外。DefaultAzureCredentialがトークンを自動リフレッシュ。失敗時は管理者アラート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権限不足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リトライ対象外。格付判定側にApp role割当を依頼。管理者アラート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API不存在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リトライ対象外。エンドポイントURL設定を確認。管理者アラート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500 Internal Server Error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格付判定側内部エラー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リトライ後CB遮断。管理者アラート。errList(ESYS50001)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アプリエラー（JSON）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格付判定側で検知したエラー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JSONのエラー内容をSerilogに記録。errListでユーザーに表示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7.2 例外処理設計（通信レベル）</w:t>
      </w:r>
    </w:p>
    <w:p>
      <w:pPr>
        <w:spacing w:after="60" w:before="60"/>
      </w:pPr>
      <w:r>
        <w:rPr>
          <w:rFonts w:ascii="Meiryo" w:cs="Meiryo" w:eastAsia="Meiryo" w:hAnsi="Meiryo"/>
          <w:sz w:val="18"/>
          <w:szCs w:val="18"/>
        </w:rPr>
        <w:t xml:space="preserve">格付判定システムとの通信において発生する例外は、Pollyによるリトライおよびサーキットブレーカーにより対処する。連続失敗時はサーキットブレーカーが動作し、手動判定フローへ誘導する（★TBD）。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種別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Polly動作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ユーザー通知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タイムアウト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API応答が規定時間を超過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リトライ（指数バックオフ）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wrnListで処理遅延を通知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接続エラー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ネットワーク障害・到達不能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リトライ後CB遮断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errList(EHOSHO40xxx)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500 Server Error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格付判定側内部エラー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リトライ後CB遮断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errList(ESYS50001)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CB遮断中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連続失敗でCB動作中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手動判定フローへ誘導（★TBD）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/>
        </w:pBdr>
        <w:spacing w:after="120" w:before="360"/>
      </w:pPr>
      <w:r>
        <w:rPr>
          <w:rFonts w:ascii="Meiryo" w:cs="Meiryo" w:eastAsia="Meiryo" w:hAnsi="Meiryo"/>
          <w:b/>
          <w:bCs/>
          <w:color w:val="1F3864"/>
          <w:sz w:val="28"/>
          <w:szCs w:val="28"/>
        </w:rPr>
        <w:t xml:space="preserve">8. セキュリティ設計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設計方針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通信経路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Microsoft Entra Private Access（Private Endpoint）— インターネット非経由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通信暗号化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VPNトンネル：AES-256 / API通信：HTTPS（TLS 1.2以上）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Public Access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無効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認証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Entra ID OAuth2.0 Client Credentials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人のIDの使用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禁止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Secretの管理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Azure Key Vaultで管理（Managed Identity対応可否確認後に判断）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バージョン管理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APIパスにバージョン番号を含める（/api/v1/...）。破壊的変更時は新バージョンを提供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監査ログ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Serilog → GovSystemLogDB（リクエスト・レスポンス・タイムスタンプ）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/>
        </w:pBdr>
        <w:spacing w:after="120" w:before="360"/>
      </w:pPr>
      <w:r>
        <w:rPr>
          <w:rFonts w:ascii="Meiryo" w:cs="Meiryo" w:eastAsia="Meiryo" w:hAnsi="Meiryo"/>
          <w:b/>
          <w:bCs/>
          <w:color w:val="1F3864"/>
          <w:sz w:val="28"/>
          <w:szCs w:val="28"/>
        </w:rPr>
        <w:t xml:space="preserve">9. 実装方法（.NET 10）</w:t>
      </w:r>
    </w:p>
    <w:p>
      <w:pPr>
        <w:pStyle w:val="Heading2"/>
        <w:spacing w:after="80" w:before="24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9.1 appsettings.json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"KakuduApi":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"TenantId":  "★格付判定側から提供（払い出し待ち）",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"ClientId":  "★格付判定側から提供（払い出し待ち）",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"AppId":     "★格付判定側から提供（スコープ用）",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"BaseUrl":   "https://&lt;app-name&gt;.azurewebsites.net（仮）",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"Scope":     "api://{AppId}/.default"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※ ClientSecretはKey Vaultに格納する（コードへの直接記載禁止）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9.2 KakuduService 実装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Managed Identity使用の場合（推奨）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var credential = new DefaultAzureCredential();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var token = await credential.GetTokenAsync(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new TokenRequestContext(new[] { config["KakuduApi:Scope"] }), ct);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Service Principal（client_secret）使用の場合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var credential = new ClientSecretCredential(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config["KakuduApi:TenantId"],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config["KakuduApi:ClientId"],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keyVaultSecret  // Key Vaultから取得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HTTPリクエスト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_http.DefaultRequestHeaders.Authorization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new AuthenticationHeaderValue("Bearer", token.Token);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var response = await _http.PostAsJsonAsync("/api/v1/process", request, ct);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/>
        </w:pBdr>
        <w:spacing w:after="120" w:before="360"/>
      </w:pPr>
      <w:r>
        <w:rPr>
          <w:rFonts w:ascii="Meiryo" w:cs="Meiryo" w:eastAsia="Meiryo" w:hAnsi="Meiryo"/>
          <w:b/>
          <w:bCs/>
          <w:color w:val="1F3864"/>
          <w:sz w:val="28"/>
          <w:szCs w:val="28"/>
        </w:rPr>
        <w:t xml:space="preserve">10. 未確定事項（★TBD）・確認事項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800"/>
        <w:gridCol w:w="3260"/>
      </w:tblGrid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確認事項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現状</w:t>
            </w:r>
          </w:p>
        </w:tc>
        <w:tc>
          <w:tcPr>
            <w:tcW w:type="dxa" w:w="3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確認先・時期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tenant-id / client-id / api-app-idの払い出し時期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未定（★早急に確認要）</w:t>
            </w:r>
          </w:p>
        </w:tc>
        <w:tc>
          <w:tcPr>
            <w:tcW w:type="dxa" w:w="3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格付判定事業者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client-secretの払い出し時期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未定（★早急に確認要）</w:t>
            </w:r>
          </w:p>
        </w:tc>
        <w:tc>
          <w:tcPr>
            <w:tcW w:type="dxa" w:w="3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格付判定事業者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&lt;app-name&gt;の正式名称・テスト環境URL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仮URL提供済み。正式は2027年5月</w:t>
            </w:r>
          </w:p>
        </w:tc>
        <w:tc>
          <w:tcPr>
            <w:tcW w:type="dxa" w:w="3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格付判定事業者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IF項目定義書（BS・PL等の詳細項目）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基本設計書にて提供済み</w:t>
            </w:r>
          </w:p>
        </w:tc>
        <w:tc>
          <w:tcPr>
            <w:tcW w:type="dxa" w:w="3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詳細版が別途あれば共有依頼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レスポンス項目定義（審査情報・財務指標）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基本設計書にて提供済み</w:t>
            </w:r>
          </w:p>
        </w:tc>
        <w:tc>
          <w:tcPr>
            <w:tcW w:type="dxa" w:w="3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詳細版が別途あれば共有依頼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タイムアウト推奨値・処理時間の目安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未定</w:t>
            </w:r>
          </w:p>
        </w:tc>
        <w:tc>
          <w:tcPr>
            <w:tcW w:type="dxa" w:w="3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格付判定事業者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テスト環境の有無・疎通テストのスケジュール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未定</w:t>
            </w:r>
          </w:p>
        </w:tc>
        <w:tc>
          <w:tcPr>
            <w:tcW w:type="dxa" w:w="3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格付判定事業者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F2F2" w:sz="4"/>
      </w:pBdr>
      <w:jc w:val="right"/>
    </w:pPr>
    <w:r>
      <w:rPr>
        <w:rFonts w:ascii="Meiryo" w:cs="Meiryo" w:eastAsia="Meiryo" w:hAnsi="Meiryo"/>
        <w:color w:val="808080"/>
        <w:sz w:val="16"/>
        <w:szCs w:val="16"/>
      </w:rPr>
      <w:t xml:space="preserve">- </w:t>
    </w:r>
    <w:fldSimple w:instr="PAGE"/>
    <w:r>
      <w:rPr>
        <w:rFonts w:ascii="Meiryo" w:cs="Meiryo" w:eastAsia="Meiryo" w:hAnsi="Meiryo"/>
        <w:color w:val="808080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tabs>
        <w:tab w:val="right" w:pos="9360"/>
      </w:tabs>
    </w:pPr>
    <w:r>
      <w:rPr>
        <w:rFonts w:ascii="Meiryo" w:cs="Meiryo" w:eastAsia="Meiryo" w:hAnsi="Meiryo"/>
        <w:b/>
        <w:bCs/>
        <w:color w:val="2E75B6"/>
        <w:sz w:val="16"/>
        <w:szCs w:val="16"/>
      </w:rPr>
      <w:t xml:space="preserve">IF-EXT-001 格付判定システム連携設計書（WebAPI）v0.5</w:t>
    </w:r>
    <w:r>
      <w:rPr>
        <w:rFonts w:ascii="Meiryo" w:cs="Meiryo" w:eastAsia="Meiryo" w:hAnsi="Meiryo"/>
        <w:color w:val="808080"/>
        <w:sz w:val="16"/>
        <w:szCs w:val="16"/>
      </w:rPr>
      <w:t xml:space="preserve">	政府内部システム移行プロジェクト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Meiryo" w:cs="Meiryo" w:eastAsia="Meiryo" w:hAnsi="Meiryo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Meiryo" w:cs="Meiryo" w:eastAsia="Meiryo" w:hAnsi="Meiryo"/>
      <w:b/>
      <w:bCs/>
      <w:color w:val="1F3864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Meiryo" w:cs="Meiryo" w:eastAsia="Meiryo" w:hAnsi="Meiryo"/>
      <w:b/>
      <w:bCs/>
      <w:color w:val="2E75B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2026-05-07T04:26:21.902Z</dcterms:created>
  <dcterms:modified xsi:type="dcterms:W3CDTF">2026-05-07T04:26:21.922Z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